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BFC" w:rsidRDefault="000B5BFC" w:rsidP="009763AA">
      <w:pPr>
        <w:framePr w:h="907" w:wrap="notBeside" w:vAnchor="text" w:hAnchor="text" w:xAlign="center" w:y="1"/>
        <w:jc w:val="center"/>
        <w:rPr>
          <w:sz w:val="2"/>
          <w:szCs w:val="2"/>
        </w:rPr>
      </w:pPr>
    </w:p>
    <w:p w:rsidR="0074614C" w:rsidRDefault="004C3DC2" w:rsidP="009763AA">
      <w:pPr>
        <w:jc w:val="center"/>
      </w:pPr>
      <w:r>
        <w:rPr>
          <w:b/>
          <w:noProof/>
          <w:sz w:val="32"/>
          <w:lang w:eastAsia="en-GB" w:bidi="ar-SA"/>
        </w:rPr>
        <w:drawing>
          <wp:inline distT="0" distB="0" distL="0" distR="0" wp14:anchorId="497B84D9" wp14:editId="22A450A6">
            <wp:extent cx="1316990" cy="621665"/>
            <wp:effectExtent l="1905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16990" cy="621665"/>
                    </a:xfrm>
                    <a:prstGeom prst="rect">
                      <a:avLst/>
                    </a:prstGeom>
                    <a:noFill/>
                    <a:ln w="9525">
                      <a:noFill/>
                      <a:miter lim="800000"/>
                      <a:headEnd/>
                      <a:tailEnd/>
                    </a:ln>
                  </pic:spPr>
                </pic:pic>
              </a:graphicData>
            </a:graphic>
          </wp:inline>
        </w:drawing>
      </w:r>
    </w:p>
    <w:p w:rsidR="0074614C" w:rsidRPr="007F4710" w:rsidRDefault="0074614C" w:rsidP="009763AA">
      <w:pPr>
        <w:jc w:val="center"/>
        <w:rPr>
          <w:sz w:val="56"/>
          <w:szCs w:val="56"/>
        </w:rPr>
      </w:pPr>
      <w:r w:rsidRPr="00A211B7">
        <w:rPr>
          <w:b/>
          <w:sz w:val="44"/>
          <w:szCs w:val="44"/>
        </w:rPr>
        <w:t>Contracting Authority</w:t>
      </w:r>
      <w:r w:rsidR="00F123BD">
        <w:rPr>
          <w:sz w:val="44"/>
          <w:szCs w:val="44"/>
        </w:rPr>
        <w:t>:</w:t>
      </w:r>
      <w:r w:rsidR="00663CB6">
        <w:rPr>
          <w:sz w:val="44"/>
          <w:szCs w:val="44"/>
        </w:rPr>
        <w:t xml:space="preserve"> </w:t>
      </w:r>
      <w:r w:rsidRPr="007F4710">
        <w:rPr>
          <w:sz w:val="56"/>
          <w:szCs w:val="56"/>
        </w:rPr>
        <w:t>European Commission</w:t>
      </w:r>
    </w:p>
    <w:p w:rsidR="0074614C" w:rsidRPr="007F4710" w:rsidRDefault="0074614C" w:rsidP="009763AA">
      <w:pPr>
        <w:jc w:val="center"/>
        <w:rPr>
          <w:sz w:val="56"/>
          <w:szCs w:val="56"/>
        </w:rPr>
      </w:pPr>
    </w:p>
    <w:p w:rsidR="0074614C" w:rsidRPr="00F63F95" w:rsidRDefault="0074614C" w:rsidP="009763AA">
      <w:pPr>
        <w:jc w:val="center"/>
        <w:rPr>
          <w:sz w:val="52"/>
          <w:szCs w:val="52"/>
        </w:rPr>
      </w:pPr>
      <w:r w:rsidRPr="00F63F95">
        <w:rPr>
          <w:sz w:val="52"/>
          <w:szCs w:val="52"/>
        </w:rPr>
        <w:t>Civil Society Fund III</w:t>
      </w:r>
    </w:p>
    <w:p w:rsidR="007F4710" w:rsidRDefault="007F4710" w:rsidP="007C2B43">
      <w:pPr>
        <w:pStyle w:val="Heading11"/>
        <w:keepNext/>
        <w:keepLines/>
        <w:shd w:val="clear" w:color="auto" w:fill="auto"/>
        <w:spacing w:before="0" w:after="536" w:line="240" w:lineRule="auto"/>
        <w:ind w:left="20"/>
        <w:rPr>
          <w:sz w:val="36"/>
          <w:szCs w:val="36"/>
        </w:rPr>
      </w:pPr>
      <w:bookmarkStart w:id="0" w:name="bookmark3"/>
    </w:p>
    <w:p w:rsidR="0074614C" w:rsidRPr="003B164A" w:rsidRDefault="0066346D" w:rsidP="007C2B43">
      <w:pPr>
        <w:pStyle w:val="NoSpacing"/>
        <w:jc w:val="center"/>
        <w:rPr>
          <w:b/>
          <w:sz w:val="36"/>
          <w:szCs w:val="36"/>
        </w:rPr>
      </w:pPr>
      <w:r w:rsidRPr="003B164A">
        <w:rPr>
          <w:b/>
          <w:sz w:val="36"/>
          <w:szCs w:val="36"/>
        </w:rPr>
        <w:t xml:space="preserve">CSF III </w:t>
      </w:r>
      <w:r w:rsidR="00F123BD" w:rsidRPr="003B164A">
        <w:rPr>
          <w:b/>
          <w:sz w:val="36"/>
          <w:szCs w:val="36"/>
        </w:rPr>
        <w:t>Call for Proposals for Large Grants 2019</w:t>
      </w:r>
      <w:bookmarkStart w:id="1" w:name="_Hlk536090001"/>
    </w:p>
    <w:bookmarkEnd w:id="1"/>
    <w:p w:rsidR="0074614C" w:rsidRPr="00F63F95" w:rsidRDefault="0074614C" w:rsidP="007C2B43">
      <w:pPr>
        <w:jc w:val="center"/>
        <w:rPr>
          <w:b/>
          <w:sz w:val="56"/>
          <w:szCs w:val="56"/>
        </w:rPr>
      </w:pPr>
      <w:r w:rsidRPr="00F63F95">
        <w:rPr>
          <w:b/>
          <w:sz w:val="56"/>
          <w:szCs w:val="56"/>
        </w:rPr>
        <w:t>Guidelines for grant applicants</w:t>
      </w:r>
      <w:bookmarkEnd w:id="0"/>
    </w:p>
    <w:p w:rsidR="0074614C" w:rsidRDefault="0074614C" w:rsidP="009763AA">
      <w:pPr>
        <w:jc w:val="center"/>
        <w:rPr>
          <w:b/>
          <w:sz w:val="32"/>
          <w:szCs w:val="32"/>
        </w:rPr>
      </w:pPr>
    </w:p>
    <w:p w:rsidR="0074614C" w:rsidRPr="00F63F95" w:rsidRDefault="0074614C" w:rsidP="00480E34">
      <w:pPr>
        <w:jc w:val="center"/>
        <w:rPr>
          <w:b/>
          <w:sz w:val="32"/>
          <w:szCs w:val="32"/>
        </w:rPr>
      </w:pPr>
      <w:r w:rsidRPr="00F63F95">
        <w:rPr>
          <w:b/>
          <w:sz w:val="32"/>
          <w:szCs w:val="32"/>
        </w:rPr>
        <w:t>11</w:t>
      </w:r>
      <w:r w:rsidRPr="00F63F95">
        <w:rPr>
          <w:b/>
          <w:sz w:val="32"/>
          <w:szCs w:val="32"/>
          <w:vertAlign w:val="superscript"/>
        </w:rPr>
        <w:t>th</w:t>
      </w:r>
      <w:r w:rsidRPr="00F63F95">
        <w:rPr>
          <w:b/>
          <w:sz w:val="32"/>
          <w:szCs w:val="32"/>
        </w:rPr>
        <w:t xml:space="preserve"> European Development Fund</w:t>
      </w:r>
      <w:r w:rsidR="002018BB" w:rsidRPr="00A85BF5">
        <w:rPr>
          <w:rStyle w:val="FootnoteReference"/>
          <w:b/>
          <w:sz w:val="22"/>
          <w:szCs w:val="22"/>
        </w:rPr>
        <w:footnoteReference w:id="1"/>
      </w:r>
    </w:p>
    <w:p w:rsidR="0074614C" w:rsidRPr="00F63F95" w:rsidRDefault="0074614C" w:rsidP="00480E34">
      <w:pPr>
        <w:jc w:val="center"/>
        <w:rPr>
          <w:sz w:val="32"/>
          <w:szCs w:val="32"/>
        </w:rPr>
      </w:pPr>
    </w:p>
    <w:p w:rsidR="0074614C" w:rsidRPr="00F63F95" w:rsidRDefault="0074614C" w:rsidP="007C2B43">
      <w:pPr>
        <w:pStyle w:val="Bodytext30"/>
        <w:shd w:val="clear" w:color="auto" w:fill="auto"/>
        <w:spacing w:before="0" w:after="0" w:line="240" w:lineRule="auto"/>
        <w:rPr>
          <w:sz w:val="32"/>
          <w:szCs w:val="32"/>
        </w:rPr>
      </w:pPr>
      <w:r w:rsidRPr="00F63F95">
        <w:rPr>
          <w:sz w:val="32"/>
          <w:szCs w:val="32"/>
        </w:rPr>
        <w:t>Reference: EuropeAid</w:t>
      </w:r>
      <w:r w:rsidRPr="0075793D">
        <w:rPr>
          <w:sz w:val="32"/>
          <w:szCs w:val="32"/>
        </w:rPr>
        <w:t>/</w:t>
      </w:r>
      <w:r w:rsidR="00AD0A00" w:rsidRPr="0075793D">
        <w:rPr>
          <w:sz w:val="32"/>
          <w:szCs w:val="32"/>
        </w:rPr>
        <w:t>163</w:t>
      </w:r>
      <w:r w:rsidR="00A36547" w:rsidRPr="0075793D">
        <w:rPr>
          <w:sz w:val="32"/>
          <w:szCs w:val="32"/>
        </w:rPr>
        <w:t>92</w:t>
      </w:r>
      <w:r w:rsidR="001B12EA" w:rsidRPr="0075793D">
        <w:rPr>
          <w:sz w:val="32"/>
          <w:szCs w:val="32"/>
        </w:rPr>
        <w:t>6</w:t>
      </w:r>
      <w:bookmarkStart w:id="2" w:name="_GoBack"/>
      <w:bookmarkEnd w:id="2"/>
    </w:p>
    <w:p w:rsidR="0074614C" w:rsidRDefault="0074614C" w:rsidP="007C2B43">
      <w:pPr>
        <w:pStyle w:val="Bodytext30"/>
        <w:shd w:val="clear" w:color="auto" w:fill="auto"/>
        <w:spacing w:before="0" w:after="0" w:line="240" w:lineRule="auto"/>
        <w:rPr>
          <w:b/>
          <w:sz w:val="40"/>
          <w:szCs w:val="40"/>
        </w:rPr>
      </w:pPr>
    </w:p>
    <w:p w:rsidR="00676760" w:rsidRDefault="00676760" w:rsidP="009763AA">
      <w:pPr>
        <w:jc w:val="center"/>
        <w:rPr>
          <w:sz w:val="36"/>
          <w:szCs w:val="36"/>
        </w:rPr>
      </w:pPr>
    </w:p>
    <w:p w:rsidR="007F4710" w:rsidRPr="007F4710" w:rsidRDefault="007F4710" w:rsidP="00480E34">
      <w:pPr>
        <w:jc w:val="center"/>
        <w:rPr>
          <w:sz w:val="36"/>
          <w:szCs w:val="36"/>
        </w:rPr>
      </w:pPr>
      <w:r w:rsidRPr="007F4710">
        <w:rPr>
          <w:sz w:val="36"/>
          <w:szCs w:val="36"/>
        </w:rPr>
        <w:t>Deadline for submission</w:t>
      </w:r>
      <w:r w:rsidRPr="00A85BF5">
        <w:rPr>
          <w:sz w:val="22"/>
          <w:szCs w:val="22"/>
          <w:vertAlign w:val="superscript"/>
        </w:rPr>
        <w:footnoteReference w:id="2"/>
      </w:r>
      <w:r w:rsidRPr="007F4710">
        <w:rPr>
          <w:sz w:val="36"/>
          <w:szCs w:val="36"/>
        </w:rPr>
        <w:t>of concept notes:</w:t>
      </w:r>
    </w:p>
    <w:p w:rsidR="0074614C" w:rsidRDefault="0074614C" w:rsidP="00480E34">
      <w:pPr>
        <w:jc w:val="center"/>
        <w:rPr>
          <w:b/>
          <w:sz w:val="32"/>
          <w:szCs w:val="32"/>
        </w:rPr>
      </w:pPr>
    </w:p>
    <w:p w:rsidR="0074614C" w:rsidRPr="007F4710" w:rsidRDefault="00663CB6">
      <w:pPr>
        <w:jc w:val="center"/>
        <w:rPr>
          <w:b/>
          <w:bCs/>
          <w:sz w:val="32"/>
          <w:szCs w:val="32"/>
          <w:lang w:eastAsia="fr-FR" w:bidi="fr-FR"/>
        </w:rPr>
      </w:pPr>
      <w:r>
        <w:rPr>
          <w:b/>
          <w:sz w:val="32"/>
          <w:szCs w:val="32"/>
        </w:rPr>
        <w:t>23/05/2019</w:t>
      </w:r>
      <w:r w:rsidRPr="00663CB6">
        <w:rPr>
          <w:b/>
          <w:sz w:val="32"/>
          <w:szCs w:val="32"/>
        </w:rPr>
        <w:t xml:space="preserve"> at 15:00 (Brussels date and time)</w:t>
      </w:r>
    </w:p>
    <w:p w:rsidR="007F4710" w:rsidRDefault="007F4710" w:rsidP="007C2B43">
      <w:pPr>
        <w:pStyle w:val="Bodytext30"/>
        <w:shd w:val="clear" w:color="auto" w:fill="auto"/>
        <w:spacing w:before="0" w:after="0" w:line="240" w:lineRule="auto"/>
        <w:ind w:left="20"/>
      </w:pPr>
      <w:bookmarkStart w:id="3" w:name="bookmark6"/>
      <w:r>
        <w:t xml:space="preserve">(in order to convert to local </w:t>
      </w:r>
      <w:proofErr w:type="gramStart"/>
      <w:r>
        <w:t>time</w:t>
      </w:r>
      <w:proofErr w:type="gramEnd"/>
      <w:r>
        <w:t xml:space="preserve"> click</w:t>
      </w:r>
      <w:hyperlink r:id="rId9" w:history="1">
        <w:r>
          <w:rPr>
            <w:rStyle w:val="Bodytext311pt"/>
          </w:rPr>
          <w:t>here</w:t>
        </w:r>
        <w:r w:rsidRPr="00995669">
          <w:rPr>
            <w:rStyle w:val="Bodytext311pt1"/>
            <w:b w:val="0"/>
            <w:vertAlign w:val="superscript"/>
          </w:rPr>
          <w:footnoteReference w:id="3"/>
        </w:r>
      </w:hyperlink>
      <w:r>
        <w:rPr>
          <w:rStyle w:val="Bodytext311pt1"/>
        </w:rPr>
        <w:t>)</w:t>
      </w:r>
    </w:p>
    <w:p w:rsidR="0074614C" w:rsidRDefault="0074614C" w:rsidP="009763AA">
      <w:pPr>
        <w:rPr>
          <w:lang w:eastAsia="fr-FR" w:bidi="fr-FR"/>
        </w:rPr>
      </w:pPr>
    </w:p>
    <w:p w:rsidR="007F4710" w:rsidRDefault="007F4710" w:rsidP="00480E34">
      <w:pPr>
        <w:rPr>
          <w:b/>
          <w:bCs/>
          <w:sz w:val="32"/>
          <w:szCs w:val="32"/>
          <w:lang w:eastAsia="fr-FR" w:bidi="fr-FR"/>
        </w:rPr>
      </w:pPr>
    </w:p>
    <w:p w:rsidR="00550A25" w:rsidRDefault="00550A25" w:rsidP="00480E34">
      <w:pPr>
        <w:rPr>
          <w:b/>
          <w:bCs/>
          <w:sz w:val="32"/>
          <w:szCs w:val="32"/>
          <w:lang w:eastAsia="fr-FR" w:bidi="fr-FR"/>
        </w:rPr>
      </w:pPr>
      <w:r>
        <w:rPr>
          <w:lang w:eastAsia="fr-FR" w:bidi="fr-FR"/>
        </w:rPr>
        <w:br w:type="page"/>
      </w:r>
    </w:p>
    <w:p w:rsidR="000B5BFC" w:rsidRPr="00CC15DD" w:rsidRDefault="00764274" w:rsidP="00480E34">
      <w:pPr>
        <w:pStyle w:val="NoSpacing"/>
        <w:jc w:val="center"/>
        <w:rPr>
          <w:b/>
          <w:sz w:val="32"/>
          <w:szCs w:val="32"/>
        </w:rPr>
      </w:pPr>
      <w:r w:rsidRPr="00CC15DD">
        <w:rPr>
          <w:b/>
          <w:sz w:val="32"/>
          <w:szCs w:val="32"/>
          <w:lang w:eastAsia="fr-FR" w:bidi="fr-FR"/>
        </w:rPr>
        <w:lastRenderedPageBreak/>
        <w:t>NOTICE</w:t>
      </w:r>
      <w:bookmarkEnd w:id="3"/>
    </w:p>
    <w:p w:rsidR="009763AA" w:rsidRDefault="009763AA" w:rsidP="007C2B43">
      <w:pPr>
        <w:pStyle w:val="Bodytext21"/>
        <w:shd w:val="clear" w:color="auto" w:fill="auto"/>
        <w:spacing w:before="0" w:after="350" w:line="240" w:lineRule="auto"/>
        <w:ind w:firstLine="0"/>
      </w:pPr>
    </w:p>
    <w:p w:rsidR="000B5BFC" w:rsidRDefault="00764274" w:rsidP="007C2B43">
      <w:pPr>
        <w:pStyle w:val="Bodytext21"/>
        <w:shd w:val="clear" w:color="auto" w:fill="auto"/>
        <w:spacing w:before="0" w:after="350" w:line="240" w:lineRule="auto"/>
        <w:ind w:firstLine="0"/>
      </w:pPr>
      <w:r>
        <w:t xml:space="preserve">This is a restricted call for proposals. In the first instance, only concept notes (Part A of the grant application </w:t>
      </w:r>
      <w:r w:rsidRPr="00764274">
        <w:rPr>
          <w:lang w:eastAsia="da-DK" w:bidi="da-DK"/>
        </w:rPr>
        <w:t xml:space="preserve">form) </w:t>
      </w:r>
      <w:r>
        <w:t>must be submitted for evaluation. Thereafter, lead applicants who have been pre</w:t>
      </w:r>
      <w:r>
        <w:softHyphen/>
        <w:t>selected will be invited to submit a full application. After the evaluation of the full applications, an eligibility check will be performed for those which have been provisionally selected. Eligibility will be checked on the basis of the supporting documents requested by the contracting authority and the signed ‘declaration by the lead applicant’ sent together with the full application.</w:t>
      </w:r>
    </w:p>
    <w:p w:rsidR="003D6A1E" w:rsidRDefault="003D6A1E" w:rsidP="007C2B43">
      <w:pPr>
        <w:pStyle w:val="Bodytext21"/>
        <w:pBdr>
          <w:top w:val="single" w:sz="4" w:space="1" w:color="auto"/>
          <w:left w:val="single" w:sz="4" w:space="4" w:color="auto"/>
          <w:bottom w:val="single" w:sz="4" w:space="1" w:color="auto"/>
          <w:right w:val="single" w:sz="4" w:space="4" w:color="auto"/>
        </w:pBdr>
        <w:spacing w:after="350" w:line="240" w:lineRule="auto"/>
        <w:ind w:firstLine="0"/>
      </w:pPr>
      <w:r w:rsidRPr="003D6A1E">
        <w:rPr>
          <w:b/>
        </w:rPr>
        <w:t>To apply to this call for proposals organisations must register in PADOR and submit their application in PROSPECT (see section 2.2.2 of the guidelines).</w:t>
      </w:r>
      <w:r>
        <w:t xml:space="preserve"> The aim of PROSPECT is to increase the efficiency of the management of the call for proposals and to offer a better service to civil society </w:t>
      </w:r>
      <w:r w:rsidR="00A211B7">
        <w:t>organi</w:t>
      </w:r>
      <w:r w:rsidR="00016034">
        <w:t>s</w:t>
      </w:r>
      <w:r w:rsidR="00A211B7">
        <w:t>ations</w:t>
      </w:r>
      <w:r>
        <w:t xml:space="preserve"> through a new panel of functionalities such as the on-line submission and the possibility to follow up online the status of their application.</w:t>
      </w:r>
      <w:r>
        <w:tab/>
      </w:r>
    </w:p>
    <w:p w:rsidR="003D6A1E" w:rsidRDefault="003D6A1E" w:rsidP="007C2B43">
      <w:pPr>
        <w:pStyle w:val="Bodytext21"/>
        <w:pBdr>
          <w:top w:val="single" w:sz="4" w:space="1" w:color="auto"/>
          <w:left w:val="single" w:sz="4" w:space="4" w:color="auto"/>
          <w:bottom w:val="single" w:sz="4" w:space="1" w:color="auto"/>
          <w:right w:val="single" w:sz="4" w:space="4" w:color="auto"/>
        </w:pBdr>
        <w:spacing w:after="350" w:line="240" w:lineRule="auto"/>
        <w:ind w:firstLine="0"/>
      </w:pPr>
      <w:r>
        <w:t>To help applicants</w:t>
      </w:r>
      <w:r w:rsidRPr="00016034">
        <w:t xml:space="preserve"> familiarise</w:t>
      </w:r>
      <w:r>
        <w:t xml:space="preserve"> themselves with the system before the online submission, information session</w:t>
      </w:r>
      <w:r w:rsidR="00734BA0">
        <w:t>s</w:t>
      </w:r>
      <w:r>
        <w:t xml:space="preserve"> will be</w:t>
      </w:r>
      <w:r w:rsidRPr="00016034">
        <w:t xml:space="preserve"> organised</w:t>
      </w:r>
      <w:r>
        <w:t xml:space="preserve"> on</w:t>
      </w:r>
      <w:r w:rsidR="007014EC">
        <w:t xml:space="preserve"> </w:t>
      </w:r>
      <w:r w:rsidR="007014EC" w:rsidRPr="007014EC">
        <w:rPr>
          <w:color w:val="auto"/>
        </w:rPr>
        <w:t xml:space="preserve">April 11, 2019 </w:t>
      </w:r>
      <w:r w:rsidR="008E272F">
        <w:rPr>
          <w:color w:val="auto"/>
        </w:rPr>
        <w:t>(</w:t>
      </w:r>
      <w:proofErr w:type="spellStart"/>
      <w:r w:rsidR="007014EC">
        <w:rPr>
          <w:color w:val="auto"/>
        </w:rPr>
        <w:t>Saphire</w:t>
      </w:r>
      <w:proofErr w:type="spellEnd"/>
      <w:r w:rsidR="007014EC">
        <w:rPr>
          <w:color w:val="auto"/>
        </w:rPr>
        <w:t xml:space="preserve"> Addis Hotel</w:t>
      </w:r>
      <w:r w:rsidR="008E272F">
        <w:rPr>
          <w:color w:val="auto"/>
        </w:rPr>
        <w:t>, Addis Ababa), April 1</w:t>
      </w:r>
      <w:r w:rsidR="00B0246C">
        <w:rPr>
          <w:color w:val="auto"/>
        </w:rPr>
        <w:t>2</w:t>
      </w:r>
      <w:r w:rsidR="008E272F">
        <w:rPr>
          <w:color w:val="auto"/>
        </w:rPr>
        <w:t xml:space="preserve"> (</w:t>
      </w:r>
      <w:r w:rsidR="00B0246C">
        <w:rPr>
          <w:color w:val="auto"/>
        </w:rPr>
        <w:t>Mekelle and Bahir Dar</w:t>
      </w:r>
      <w:r w:rsidR="006C3D1D">
        <w:rPr>
          <w:color w:val="auto"/>
        </w:rPr>
        <w:t>), April</w:t>
      </w:r>
      <w:r w:rsidR="008E272F">
        <w:rPr>
          <w:color w:val="auto"/>
        </w:rPr>
        <w:t xml:space="preserve"> 1</w:t>
      </w:r>
      <w:r w:rsidR="00B0246C">
        <w:rPr>
          <w:color w:val="auto"/>
        </w:rPr>
        <w:t>5</w:t>
      </w:r>
      <w:r w:rsidR="008E272F">
        <w:rPr>
          <w:color w:val="auto"/>
        </w:rPr>
        <w:t xml:space="preserve"> (</w:t>
      </w:r>
      <w:proofErr w:type="spellStart"/>
      <w:r w:rsidR="008E272F">
        <w:rPr>
          <w:color w:val="auto"/>
        </w:rPr>
        <w:t>Assossa</w:t>
      </w:r>
      <w:proofErr w:type="spellEnd"/>
      <w:r w:rsidR="008E272F">
        <w:rPr>
          <w:color w:val="auto"/>
        </w:rPr>
        <w:t xml:space="preserve"> and </w:t>
      </w:r>
      <w:proofErr w:type="spellStart"/>
      <w:r w:rsidR="008E272F">
        <w:rPr>
          <w:color w:val="auto"/>
        </w:rPr>
        <w:t>Gambella</w:t>
      </w:r>
      <w:proofErr w:type="spellEnd"/>
      <w:r w:rsidR="008E272F">
        <w:rPr>
          <w:color w:val="auto"/>
        </w:rPr>
        <w:t xml:space="preserve">), April </w:t>
      </w:r>
      <w:r w:rsidR="00B0246C">
        <w:rPr>
          <w:color w:val="auto"/>
        </w:rPr>
        <w:t>17</w:t>
      </w:r>
      <w:r w:rsidR="00475A79">
        <w:rPr>
          <w:color w:val="auto"/>
        </w:rPr>
        <w:t xml:space="preserve"> (Dire </w:t>
      </w:r>
      <w:proofErr w:type="spellStart"/>
      <w:r w:rsidR="00475A79">
        <w:rPr>
          <w:color w:val="auto"/>
        </w:rPr>
        <w:t>Dawa</w:t>
      </w:r>
      <w:proofErr w:type="spellEnd"/>
      <w:r w:rsidR="00B0246C">
        <w:rPr>
          <w:color w:val="auto"/>
        </w:rPr>
        <w:t xml:space="preserve"> and Hawassa</w:t>
      </w:r>
      <w:r w:rsidR="008E272F">
        <w:rPr>
          <w:color w:val="auto"/>
        </w:rPr>
        <w:t>)</w:t>
      </w:r>
      <w:r w:rsidR="00B0246C">
        <w:rPr>
          <w:color w:val="auto"/>
        </w:rPr>
        <w:t xml:space="preserve">, </w:t>
      </w:r>
      <w:r w:rsidR="006C3D1D">
        <w:rPr>
          <w:color w:val="auto"/>
        </w:rPr>
        <w:t xml:space="preserve">and </w:t>
      </w:r>
      <w:r w:rsidR="00B0246C">
        <w:rPr>
          <w:color w:val="auto"/>
        </w:rPr>
        <w:t>April 1</w:t>
      </w:r>
      <w:r w:rsidR="006C3D1D">
        <w:rPr>
          <w:color w:val="auto"/>
        </w:rPr>
        <w:t>8</w:t>
      </w:r>
      <w:r w:rsidR="00B0246C">
        <w:rPr>
          <w:color w:val="auto"/>
        </w:rPr>
        <w:t xml:space="preserve"> (</w:t>
      </w:r>
      <w:proofErr w:type="spellStart"/>
      <w:r w:rsidR="00B0246C">
        <w:rPr>
          <w:color w:val="auto"/>
        </w:rPr>
        <w:t>Semera</w:t>
      </w:r>
      <w:proofErr w:type="spellEnd"/>
      <w:r w:rsidR="00B0246C">
        <w:rPr>
          <w:color w:val="auto"/>
        </w:rPr>
        <w:t>)</w:t>
      </w:r>
      <w:r w:rsidR="007014EC" w:rsidRPr="007014EC">
        <w:rPr>
          <w:color w:val="auto"/>
        </w:rPr>
        <w:t>.</w:t>
      </w:r>
    </w:p>
    <w:p w:rsidR="003D6A1E" w:rsidRDefault="003D6A1E" w:rsidP="007C2B43">
      <w:pPr>
        <w:pStyle w:val="Bodytext21"/>
        <w:pBdr>
          <w:top w:val="single" w:sz="4" w:space="1" w:color="auto"/>
          <w:left w:val="single" w:sz="4" w:space="4" w:color="auto"/>
          <w:bottom w:val="single" w:sz="4" w:space="1" w:color="auto"/>
          <w:right w:val="single" w:sz="4" w:space="4" w:color="auto"/>
        </w:pBdr>
        <w:spacing w:after="350" w:line="240" w:lineRule="auto"/>
        <w:ind w:firstLine="0"/>
      </w:pPr>
      <w:r>
        <w:t>Should you be interested in this session, please send an email by</w:t>
      </w:r>
      <w:r w:rsidR="008E272F">
        <w:t xml:space="preserve"> April 9, 2019</w:t>
      </w:r>
      <w:r>
        <w:t xml:space="preserve"> to </w:t>
      </w:r>
      <w:hyperlink r:id="rId10" w:history="1">
        <w:r w:rsidR="004E4627" w:rsidRPr="00883DB0">
          <w:rPr>
            <w:rStyle w:val="Hyperlink"/>
          </w:rPr>
          <w:t>DELEGATION-ETHIOPIA-CSFIII@eeas.europa.eu</w:t>
        </w:r>
      </w:hyperlink>
      <w:r w:rsidR="008E272F">
        <w:rPr>
          <w:rStyle w:val="Hyperlink"/>
        </w:rPr>
        <w:t xml:space="preserve"> </w:t>
      </w:r>
      <w:r>
        <w:t>indicating: name, surname, nationality and email address of the persons who are going to participate as well as their organisation (max. two participants per organisation). No</w:t>
      </w:r>
      <w:r w:rsidR="0053650D">
        <w:t xml:space="preserve"> </w:t>
      </w:r>
      <w:r w:rsidR="003649DA" w:rsidRPr="003649DA">
        <w:t>costs incurred by the applicants for attending this information session are reimbursable.</w:t>
      </w:r>
    </w:p>
    <w:p w:rsidR="003649DA" w:rsidRDefault="003649DA" w:rsidP="007C2B43">
      <w:pPr>
        <w:pStyle w:val="Bodytext21"/>
        <w:pBdr>
          <w:top w:val="single" w:sz="4" w:space="1" w:color="auto"/>
          <w:left w:val="single" w:sz="4" w:space="4" w:color="auto"/>
          <w:bottom w:val="single" w:sz="4" w:space="1" w:color="auto"/>
          <w:right w:val="single" w:sz="4" w:space="4" w:color="auto"/>
        </w:pBdr>
        <w:spacing w:after="350" w:line="240" w:lineRule="auto"/>
        <w:ind w:firstLine="0"/>
      </w:pPr>
      <w:r w:rsidRPr="003649DA">
        <w:t>All organisations can find the e-learning (Annex L) and the PROSPECT users' manual (Annex M) and the FAQ published together with the documents of this call. You may also contact our technical support team via the online support form in PROSPECT</w:t>
      </w:r>
      <w:r>
        <w:rPr>
          <w:rStyle w:val="Bodytext20"/>
        </w:rPr>
        <w:t>.</w:t>
      </w:r>
      <w:r w:rsidR="00550A25">
        <w:rPr>
          <w:rStyle w:val="FootnoteReference"/>
        </w:rPr>
        <w:footnoteReference w:id="4"/>
      </w:r>
    </w:p>
    <w:p w:rsidR="003D6A1E" w:rsidRDefault="003D6A1E" w:rsidP="007C2B43">
      <w:pPr>
        <w:pStyle w:val="Bodytext21"/>
        <w:spacing w:after="350" w:line="240" w:lineRule="auto"/>
        <w:ind w:firstLine="0"/>
      </w:pPr>
    </w:p>
    <w:p w:rsidR="000B5BFC" w:rsidRDefault="000B5BFC" w:rsidP="009763AA">
      <w:pPr>
        <w:framePr w:w="9590" w:wrap="notBeside" w:vAnchor="text" w:hAnchor="text" w:xAlign="center" w:y="1"/>
        <w:rPr>
          <w:sz w:val="2"/>
          <w:szCs w:val="2"/>
        </w:rPr>
      </w:pPr>
    </w:p>
    <w:p w:rsidR="000B5BFC" w:rsidRDefault="000B5BFC" w:rsidP="00480E34">
      <w:pPr>
        <w:rPr>
          <w:sz w:val="2"/>
          <w:szCs w:val="2"/>
        </w:rPr>
      </w:pPr>
    </w:p>
    <w:p w:rsidR="003649DA" w:rsidRPr="003444DA" w:rsidRDefault="003649DA" w:rsidP="00480E34">
      <w:pPr>
        <w:rPr>
          <w:sz w:val="32"/>
          <w:szCs w:val="32"/>
          <w:lang w:eastAsia="fr-FR" w:bidi="fr-FR"/>
        </w:rPr>
      </w:pPr>
      <w:r>
        <w:br w:type="page"/>
      </w:r>
    </w:p>
    <w:p w:rsidR="000B5BFC" w:rsidRDefault="00764274" w:rsidP="007C2B43">
      <w:pPr>
        <w:pStyle w:val="Bodytext60"/>
        <w:shd w:val="clear" w:color="auto" w:fill="auto"/>
        <w:spacing w:after="0" w:line="240" w:lineRule="auto"/>
      </w:pPr>
      <w:r>
        <w:lastRenderedPageBreak/>
        <w:t xml:space="preserve">Table </w:t>
      </w:r>
      <w:r>
        <w:rPr>
          <w:lang w:val="en-US" w:eastAsia="en-US" w:bidi="en-US"/>
        </w:rPr>
        <w:t xml:space="preserve">of </w:t>
      </w:r>
      <w:r>
        <w:t>contents</w:t>
      </w:r>
    </w:p>
    <w:sdt>
      <w:sdtPr>
        <w:rPr>
          <w:rFonts w:ascii="Times New Roman" w:eastAsia="Times New Roman" w:hAnsi="Times New Roman" w:cs="Times New Roman"/>
          <w:b w:val="0"/>
          <w:bCs w:val="0"/>
          <w:color w:val="000000"/>
          <w:sz w:val="24"/>
          <w:szCs w:val="24"/>
          <w:lang w:val="en-GB" w:bidi="en-US"/>
        </w:rPr>
        <w:id w:val="21349175"/>
        <w:docPartObj>
          <w:docPartGallery w:val="Table of Contents"/>
          <w:docPartUnique/>
        </w:docPartObj>
      </w:sdtPr>
      <w:sdtEndPr/>
      <w:sdtContent>
        <w:p w:rsidR="0076698D" w:rsidRDefault="0076698D" w:rsidP="007C2B43">
          <w:pPr>
            <w:pStyle w:val="TOCHeading"/>
            <w:spacing w:before="0" w:line="240" w:lineRule="auto"/>
          </w:pPr>
        </w:p>
        <w:p w:rsidR="009B21A3" w:rsidRDefault="00D731A5">
          <w:pPr>
            <w:pStyle w:val="TOC1"/>
            <w:tabs>
              <w:tab w:val="left" w:pos="480"/>
              <w:tab w:val="right" w:leader="dot" w:pos="9730"/>
            </w:tabs>
            <w:rPr>
              <w:rFonts w:asciiTheme="minorHAnsi" w:eastAsiaTheme="minorEastAsia" w:hAnsiTheme="minorHAnsi" w:cstheme="minorBidi"/>
              <w:noProof/>
              <w:color w:val="auto"/>
              <w:sz w:val="22"/>
              <w:szCs w:val="22"/>
              <w:lang w:eastAsia="en-GB" w:bidi="ar-SA"/>
            </w:rPr>
          </w:pPr>
          <w:r w:rsidRPr="006C5090">
            <w:fldChar w:fldCharType="begin"/>
          </w:r>
          <w:r w:rsidR="0076698D" w:rsidRPr="006C5090">
            <w:instrText xml:space="preserve"> TOC \o "1-3" \h \z \u </w:instrText>
          </w:r>
          <w:r w:rsidRPr="006C5090">
            <w:fldChar w:fldCharType="separate"/>
          </w:r>
          <w:hyperlink w:anchor="_Toc5010044" w:history="1">
            <w:r w:rsidR="009B21A3" w:rsidRPr="00A555A5">
              <w:rPr>
                <w:rStyle w:val="Hyperlink"/>
                <w:noProof/>
              </w:rPr>
              <w:t>1.</w:t>
            </w:r>
            <w:r w:rsidR="009B21A3">
              <w:rPr>
                <w:rFonts w:asciiTheme="minorHAnsi" w:eastAsiaTheme="minorEastAsia" w:hAnsiTheme="minorHAnsi" w:cstheme="minorBidi"/>
                <w:noProof/>
                <w:color w:val="auto"/>
                <w:sz w:val="22"/>
                <w:szCs w:val="22"/>
                <w:lang w:eastAsia="en-GB" w:bidi="ar-SA"/>
              </w:rPr>
              <w:tab/>
            </w:r>
            <w:r w:rsidR="009B21A3" w:rsidRPr="00A555A5">
              <w:rPr>
                <w:rStyle w:val="Hyperlink"/>
                <w:noProof/>
              </w:rPr>
              <w:t>CSF III: CALL FOR PROPOSALS FOR LARGE GRANTS 2019–</w:t>
            </w:r>
            <w:r w:rsidR="009B21A3">
              <w:rPr>
                <w:noProof/>
                <w:webHidden/>
              </w:rPr>
              <w:tab/>
            </w:r>
            <w:r w:rsidR="009B21A3">
              <w:rPr>
                <w:noProof/>
                <w:webHidden/>
              </w:rPr>
              <w:fldChar w:fldCharType="begin"/>
            </w:r>
            <w:r w:rsidR="009B21A3">
              <w:rPr>
                <w:noProof/>
                <w:webHidden/>
              </w:rPr>
              <w:instrText xml:space="preserve"> PAGEREF _Toc5010044 \h </w:instrText>
            </w:r>
            <w:r w:rsidR="009B21A3">
              <w:rPr>
                <w:noProof/>
                <w:webHidden/>
              </w:rPr>
            </w:r>
            <w:r w:rsidR="009B21A3">
              <w:rPr>
                <w:noProof/>
                <w:webHidden/>
              </w:rPr>
              <w:fldChar w:fldCharType="separate"/>
            </w:r>
            <w:r w:rsidR="006A109C">
              <w:rPr>
                <w:noProof/>
                <w:webHidden/>
              </w:rPr>
              <w:t>4</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45" w:history="1">
            <w:r w:rsidR="009B21A3" w:rsidRPr="00A555A5">
              <w:rPr>
                <w:rStyle w:val="Hyperlink"/>
                <w:noProof/>
                <w:lang w:eastAsia="nl-NL"/>
              </w:rPr>
              <w:t>1.1 B</w:t>
            </w:r>
            <w:r w:rsidR="009B21A3" w:rsidRPr="00A555A5">
              <w:rPr>
                <w:rStyle w:val="Hyperlink"/>
                <w:smallCaps/>
                <w:noProof/>
                <w:lang w:eastAsia="nl-NL" w:bidi="nl-NL"/>
              </w:rPr>
              <w:t>ackground</w:t>
            </w:r>
            <w:r w:rsidR="009B21A3">
              <w:rPr>
                <w:noProof/>
                <w:webHidden/>
              </w:rPr>
              <w:tab/>
            </w:r>
            <w:r w:rsidR="009B21A3">
              <w:rPr>
                <w:noProof/>
                <w:webHidden/>
              </w:rPr>
              <w:fldChar w:fldCharType="begin"/>
            </w:r>
            <w:r w:rsidR="009B21A3">
              <w:rPr>
                <w:noProof/>
                <w:webHidden/>
              </w:rPr>
              <w:instrText xml:space="preserve"> PAGEREF _Toc5010045 \h </w:instrText>
            </w:r>
            <w:r w:rsidR="009B21A3">
              <w:rPr>
                <w:noProof/>
                <w:webHidden/>
              </w:rPr>
            </w:r>
            <w:r w:rsidR="009B21A3">
              <w:rPr>
                <w:noProof/>
                <w:webHidden/>
              </w:rPr>
              <w:fldChar w:fldCharType="separate"/>
            </w:r>
            <w:r w:rsidR="006A109C">
              <w:rPr>
                <w:noProof/>
                <w:webHidden/>
              </w:rPr>
              <w:t>4</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46" w:history="1">
            <w:r w:rsidR="009B21A3" w:rsidRPr="00A555A5">
              <w:rPr>
                <w:rStyle w:val="Hyperlink"/>
                <w:noProof/>
              </w:rPr>
              <w:t>1.2 O</w:t>
            </w:r>
            <w:r w:rsidR="009B21A3" w:rsidRPr="00A555A5">
              <w:rPr>
                <w:rStyle w:val="Hyperlink"/>
                <w:smallCaps/>
                <w:noProof/>
              </w:rPr>
              <w:t xml:space="preserve">bjectives of the programme and priority </w:t>
            </w:r>
            <w:r w:rsidR="009B21A3" w:rsidRPr="00A555A5">
              <w:rPr>
                <w:rStyle w:val="Hyperlink"/>
                <w:smallCaps/>
                <w:noProof/>
                <w:lang w:eastAsia="nl-NL" w:bidi="nl-NL"/>
              </w:rPr>
              <w:t>issues</w:t>
            </w:r>
            <w:r w:rsidR="009B21A3">
              <w:rPr>
                <w:noProof/>
                <w:webHidden/>
              </w:rPr>
              <w:tab/>
            </w:r>
            <w:r w:rsidR="009B21A3">
              <w:rPr>
                <w:noProof/>
                <w:webHidden/>
              </w:rPr>
              <w:fldChar w:fldCharType="begin"/>
            </w:r>
            <w:r w:rsidR="009B21A3">
              <w:rPr>
                <w:noProof/>
                <w:webHidden/>
              </w:rPr>
              <w:instrText xml:space="preserve"> PAGEREF _Toc5010046 \h </w:instrText>
            </w:r>
            <w:r w:rsidR="009B21A3">
              <w:rPr>
                <w:noProof/>
                <w:webHidden/>
              </w:rPr>
            </w:r>
            <w:r w:rsidR="009B21A3">
              <w:rPr>
                <w:noProof/>
                <w:webHidden/>
              </w:rPr>
              <w:fldChar w:fldCharType="separate"/>
            </w:r>
            <w:r w:rsidR="006A109C">
              <w:rPr>
                <w:noProof/>
                <w:webHidden/>
              </w:rPr>
              <w:t>4</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47" w:history="1">
            <w:r w:rsidR="009B21A3" w:rsidRPr="00A555A5">
              <w:rPr>
                <w:rStyle w:val="Hyperlink"/>
                <w:noProof/>
              </w:rPr>
              <w:t>1.3 F</w:t>
            </w:r>
            <w:r w:rsidR="009B21A3" w:rsidRPr="00A555A5">
              <w:rPr>
                <w:rStyle w:val="Hyperlink"/>
                <w:smallCaps/>
                <w:noProof/>
              </w:rPr>
              <w:t>inancial allocation provided by the contracting authority</w:t>
            </w:r>
            <w:r w:rsidR="009B21A3">
              <w:rPr>
                <w:noProof/>
                <w:webHidden/>
              </w:rPr>
              <w:tab/>
            </w:r>
            <w:r w:rsidR="009B21A3">
              <w:rPr>
                <w:noProof/>
                <w:webHidden/>
              </w:rPr>
              <w:fldChar w:fldCharType="begin"/>
            </w:r>
            <w:r w:rsidR="009B21A3">
              <w:rPr>
                <w:noProof/>
                <w:webHidden/>
              </w:rPr>
              <w:instrText xml:space="preserve"> PAGEREF _Toc5010047 \h </w:instrText>
            </w:r>
            <w:r w:rsidR="009B21A3">
              <w:rPr>
                <w:noProof/>
                <w:webHidden/>
              </w:rPr>
            </w:r>
            <w:r w:rsidR="009B21A3">
              <w:rPr>
                <w:noProof/>
                <w:webHidden/>
              </w:rPr>
              <w:fldChar w:fldCharType="separate"/>
            </w:r>
            <w:r w:rsidR="006A109C">
              <w:rPr>
                <w:noProof/>
                <w:webHidden/>
              </w:rPr>
              <w:t>5</w:t>
            </w:r>
            <w:r w:rsidR="009B21A3">
              <w:rPr>
                <w:noProof/>
                <w:webHidden/>
              </w:rPr>
              <w:fldChar w:fldCharType="end"/>
            </w:r>
          </w:hyperlink>
        </w:p>
        <w:p w:rsidR="009B21A3" w:rsidRDefault="006A0C0F">
          <w:pPr>
            <w:pStyle w:val="TOC1"/>
            <w:tabs>
              <w:tab w:val="left" w:pos="480"/>
              <w:tab w:val="right" w:leader="dot" w:pos="9730"/>
            </w:tabs>
            <w:rPr>
              <w:rFonts w:asciiTheme="minorHAnsi" w:eastAsiaTheme="minorEastAsia" w:hAnsiTheme="minorHAnsi" w:cstheme="minorBidi"/>
              <w:noProof/>
              <w:color w:val="auto"/>
              <w:sz w:val="22"/>
              <w:szCs w:val="22"/>
              <w:lang w:eastAsia="en-GB" w:bidi="ar-SA"/>
            </w:rPr>
          </w:pPr>
          <w:hyperlink w:anchor="_Toc5010048" w:history="1">
            <w:r w:rsidR="009B21A3" w:rsidRPr="00A555A5">
              <w:rPr>
                <w:rStyle w:val="Hyperlink"/>
                <w:noProof/>
              </w:rPr>
              <w:t>2.</w:t>
            </w:r>
            <w:r w:rsidR="009B21A3">
              <w:rPr>
                <w:rFonts w:asciiTheme="minorHAnsi" w:eastAsiaTheme="minorEastAsia" w:hAnsiTheme="minorHAnsi" w:cstheme="minorBidi"/>
                <w:noProof/>
                <w:color w:val="auto"/>
                <w:sz w:val="22"/>
                <w:szCs w:val="22"/>
                <w:lang w:eastAsia="en-GB" w:bidi="ar-SA"/>
              </w:rPr>
              <w:tab/>
            </w:r>
            <w:r w:rsidR="009B21A3" w:rsidRPr="00A555A5">
              <w:rPr>
                <w:rStyle w:val="Hyperlink"/>
                <w:noProof/>
              </w:rPr>
              <w:t>RULES FOR THIS CALL FOR PROPOSALS</w:t>
            </w:r>
            <w:r w:rsidR="009B21A3">
              <w:rPr>
                <w:noProof/>
                <w:webHidden/>
              </w:rPr>
              <w:tab/>
            </w:r>
            <w:r w:rsidR="009B21A3">
              <w:rPr>
                <w:noProof/>
                <w:webHidden/>
              </w:rPr>
              <w:fldChar w:fldCharType="begin"/>
            </w:r>
            <w:r w:rsidR="009B21A3">
              <w:rPr>
                <w:noProof/>
                <w:webHidden/>
              </w:rPr>
              <w:instrText xml:space="preserve"> PAGEREF _Toc5010048 \h </w:instrText>
            </w:r>
            <w:r w:rsidR="009B21A3">
              <w:rPr>
                <w:noProof/>
                <w:webHidden/>
              </w:rPr>
            </w:r>
            <w:r w:rsidR="009B21A3">
              <w:rPr>
                <w:noProof/>
                <w:webHidden/>
              </w:rPr>
              <w:fldChar w:fldCharType="separate"/>
            </w:r>
            <w:r w:rsidR="006A109C">
              <w:rPr>
                <w:noProof/>
                <w:webHidden/>
              </w:rPr>
              <w:t>7</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49" w:history="1">
            <w:r w:rsidR="009B21A3" w:rsidRPr="00A555A5">
              <w:rPr>
                <w:rStyle w:val="Hyperlink"/>
                <w:noProof/>
              </w:rPr>
              <w:t>2.1 E</w:t>
            </w:r>
            <w:r w:rsidR="009B21A3" w:rsidRPr="00A555A5">
              <w:rPr>
                <w:rStyle w:val="Hyperlink"/>
                <w:smallCaps/>
                <w:noProof/>
              </w:rPr>
              <w:t>ligibility criteria</w:t>
            </w:r>
            <w:r w:rsidR="009B21A3">
              <w:rPr>
                <w:noProof/>
                <w:webHidden/>
              </w:rPr>
              <w:tab/>
            </w:r>
            <w:r w:rsidR="009B21A3">
              <w:rPr>
                <w:noProof/>
                <w:webHidden/>
              </w:rPr>
              <w:fldChar w:fldCharType="begin"/>
            </w:r>
            <w:r w:rsidR="009B21A3">
              <w:rPr>
                <w:noProof/>
                <w:webHidden/>
              </w:rPr>
              <w:instrText xml:space="preserve"> PAGEREF _Toc5010049 \h </w:instrText>
            </w:r>
            <w:r w:rsidR="009B21A3">
              <w:rPr>
                <w:noProof/>
                <w:webHidden/>
              </w:rPr>
            </w:r>
            <w:r w:rsidR="009B21A3">
              <w:rPr>
                <w:noProof/>
                <w:webHidden/>
              </w:rPr>
              <w:fldChar w:fldCharType="separate"/>
            </w:r>
            <w:r w:rsidR="006A109C">
              <w:rPr>
                <w:noProof/>
                <w:webHidden/>
              </w:rPr>
              <w:t>7</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0" w:history="1">
            <w:r w:rsidR="009B21A3" w:rsidRPr="00A555A5">
              <w:rPr>
                <w:rStyle w:val="Hyperlink"/>
                <w:i/>
                <w:noProof/>
              </w:rPr>
              <w:t>2.1.1 Eligibility of applicants (i.e. lead applicant and co-applicant(s))</w:t>
            </w:r>
            <w:r w:rsidR="009B21A3">
              <w:rPr>
                <w:noProof/>
                <w:webHidden/>
              </w:rPr>
              <w:tab/>
            </w:r>
            <w:r w:rsidR="009B21A3">
              <w:rPr>
                <w:noProof/>
                <w:webHidden/>
              </w:rPr>
              <w:fldChar w:fldCharType="begin"/>
            </w:r>
            <w:r w:rsidR="009B21A3">
              <w:rPr>
                <w:noProof/>
                <w:webHidden/>
              </w:rPr>
              <w:instrText xml:space="preserve"> PAGEREF _Toc5010050 \h </w:instrText>
            </w:r>
            <w:r w:rsidR="009B21A3">
              <w:rPr>
                <w:noProof/>
                <w:webHidden/>
              </w:rPr>
            </w:r>
            <w:r w:rsidR="009B21A3">
              <w:rPr>
                <w:noProof/>
                <w:webHidden/>
              </w:rPr>
              <w:fldChar w:fldCharType="separate"/>
            </w:r>
            <w:r w:rsidR="006A109C">
              <w:rPr>
                <w:noProof/>
                <w:webHidden/>
              </w:rPr>
              <w:t>7</w:t>
            </w:r>
            <w:r w:rsidR="009B21A3">
              <w:rPr>
                <w:noProof/>
                <w:webHidden/>
              </w:rPr>
              <w:fldChar w:fldCharType="end"/>
            </w:r>
          </w:hyperlink>
        </w:p>
        <w:p w:rsidR="009B21A3" w:rsidRDefault="006A0C0F">
          <w:pPr>
            <w:pStyle w:val="TOC3"/>
            <w:tabs>
              <w:tab w:val="left" w:pos="1320"/>
              <w:tab w:val="right" w:leader="dot" w:pos="9730"/>
            </w:tabs>
            <w:rPr>
              <w:rFonts w:asciiTheme="minorHAnsi" w:eastAsiaTheme="minorEastAsia" w:hAnsiTheme="minorHAnsi" w:cstheme="minorBidi"/>
              <w:noProof/>
              <w:color w:val="auto"/>
              <w:sz w:val="22"/>
              <w:szCs w:val="22"/>
              <w:lang w:eastAsia="en-GB" w:bidi="ar-SA"/>
            </w:rPr>
          </w:pPr>
          <w:hyperlink w:anchor="_Toc5010051" w:history="1">
            <w:r w:rsidR="009B21A3" w:rsidRPr="00A555A5">
              <w:rPr>
                <w:rStyle w:val="Hyperlink"/>
                <w:i/>
                <w:noProof/>
              </w:rPr>
              <w:t>2.1.2</w:t>
            </w:r>
            <w:r w:rsidR="009B21A3">
              <w:rPr>
                <w:rFonts w:asciiTheme="minorHAnsi" w:eastAsiaTheme="minorEastAsia" w:hAnsiTheme="minorHAnsi" w:cstheme="minorBidi"/>
                <w:noProof/>
                <w:color w:val="auto"/>
                <w:sz w:val="22"/>
                <w:szCs w:val="22"/>
                <w:lang w:eastAsia="en-GB" w:bidi="ar-SA"/>
              </w:rPr>
              <w:tab/>
            </w:r>
            <w:r w:rsidR="009B21A3" w:rsidRPr="00A555A5">
              <w:rPr>
                <w:rStyle w:val="Hyperlink"/>
                <w:i/>
                <w:noProof/>
              </w:rPr>
              <w:t>Affiliated entities</w:t>
            </w:r>
            <w:r w:rsidR="009B21A3">
              <w:rPr>
                <w:noProof/>
                <w:webHidden/>
              </w:rPr>
              <w:tab/>
            </w:r>
            <w:r w:rsidR="009B21A3">
              <w:rPr>
                <w:noProof/>
                <w:webHidden/>
              </w:rPr>
              <w:fldChar w:fldCharType="begin"/>
            </w:r>
            <w:r w:rsidR="009B21A3">
              <w:rPr>
                <w:noProof/>
                <w:webHidden/>
              </w:rPr>
              <w:instrText xml:space="preserve"> PAGEREF _Toc5010051 \h </w:instrText>
            </w:r>
            <w:r w:rsidR="009B21A3">
              <w:rPr>
                <w:noProof/>
                <w:webHidden/>
              </w:rPr>
            </w:r>
            <w:r w:rsidR="009B21A3">
              <w:rPr>
                <w:noProof/>
                <w:webHidden/>
              </w:rPr>
              <w:fldChar w:fldCharType="separate"/>
            </w:r>
            <w:r w:rsidR="006A109C">
              <w:rPr>
                <w:noProof/>
                <w:webHidden/>
              </w:rPr>
              <w:t>8</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2" w:history="1">
            <w:r w:rsidR="009B21A3" w:rsidRPr="00A555A5">
              <w:rPr>
                <w:rStyle w:val="Hyperlink"/>
                <w:i/>
                <w:noProof/>
              </w:rPr>
              <w:t>2.1.3. Associates and contractors</w:t>
            </w:r>
            <w:r w:rsidR="009B21A3">
              <w:rPr>
                <w:noProof/>
                <w:webHidden/>
              </w:rPr>
              <w:tab/>
            </w:r>
            <w:r w:rsidR="009B21A3">
              <w:rPr>
                <w:noProof/>
                <w:webHidden/>
              </w:rPr>
              <w:fldChar w:fldCharType="begin"/>
            </w:r>
            <w:r w:rsidR="009B21A3">
              <w:rPr>
                <w:noProof/>
                <w:webHidden/>
              </w:rPr>
              <w:instrText xml:space="preserve"> PAGEREF _Toc5010052 \h </w:instrText>
            </w:r>
            <w:r w:rsidR="009B21A3">
              <w:rPr>
                <w:noProof/>
                <w:webHidden/>
              </w:rPr>
            </w:r>
            <w:r w:rsidR="009B21A3">
              <w:rPr>
                <w:noProof/>
                <w:webHidden/>
              </w:rPr>
              <w:fldChar w:fldCharType="separate"/>
            </w:r>
            <w:r w:rsidR="006A109C">
              <w:rPr>
                <w:noProof/>
                <w:webHidden/>
              </w:rPr>
              <w:t>10</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3" w:history="1">
            <w:r w:rsidR="009B21A3" w:rsidRPr="00A555A5">
              <w:rPr>
                <w:rStyle w:val="Hyperlink"/>
                <w:i/>
                <w:noProof/>
              </w:rPr>
              <w:t>2.1.4. Eligible actions: actions for which an application may be made</w:t>
            </w:r>
            <w:r w:rsidR="009B21A3">
              <w:rPr>
                <w:noProof/>
                <w:webHidden/>
              </w:rPr>
              <w:tab/>
            </w:r>
            <w:r w:rsidR="009B21A3">
              <w:rPr>
                <w:noProof/>
                <w:webHidden/>
              </w:rPr>
              <w:fldChar w:fldCharType="begin"/>
            </w:r>
            <w:r w:rsidR="009B21A3">
              <w:rPr>
                <w:noProof/>
                <w:webHidden/>
              </w:rPr>
              <w:instrText xml:space="preserve"> PAGEREF _Toc5010053 \h </w:instrText>
            </w:r>
            <w:r w:rsidR="009B21A3">
              <w:rPr>
                <w:noProof/>
                <w:webHidden/>
              </w:rPr>
            </w:r>
            <w:r w:rsidR="009B21A3">
              <w:rPr>
                <w:noProof/>
                <w:webHidden/>
              </w:rPr>
              <w:fldChar w:fldCharType="separate"/>
            </w:r>
            <w:r w:rsidR="006A109C">
              <w:rPr>
                <w:noProof/>
                <w:webHidden/>
              </w:rPr>
              <w:t>10</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4" w:history="1">
            <w:r w:rsidR="009B21A3" w:rsidRPr="00A555A5">
              <w:rPr>
                <w:rStyle w:val="Hyperlink"/>
                <w:i/>
                <w:noProof/>
              </w:rPr>
              <w:t>2.1.5. Eligibility of costs: costs that can be included</w:t>
            </w:r>
            <w:r w:rsidR="009B21A3">
              <w:rPr>
                <w:noProof/>
                <w:webHidden/>
              </w:rPr>
              <w:tab/>
            </w:r>
            <w:r w:rsidR="009B21A3">
              <w:rPr>
                <w:noProof/>
                <w:webHidden/>
              </w:rPr>
              <w:fldChar w:fldCharType="begin"/>
            </w:r>
            <w:r w:rsidR="009B21A3">
              <w:rPr>
                <w:noProof/>
                <w:webHidden/>
              </w:rPr>
              <w:instrText xml:space="preserve"> PAGEREF _Toc5010054 \h </w:instrText>
            </w:r>
            <w:r w:rsidR="009B21A3">
              <w:rPr>
                <w:noProof/>
                <w:webHidden/>
              </w:rPr>
            </w:r>
            <w:r w:rsidR="009B21A3">
              <w:rPr>
                <w:noProof/>
                <w:webHidden/>
              </w:rPr>
              <w:fldChar w:fldCharType="separate"/>
            </w:r>
            <w:r w:rsidR="006A109C">
              <w:rPr>
                <w:noProof/>
                <w:webHidden/>
              </w:rPr>
              <w:t>16</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55" w:history="1">
            <w:r w:rsidR="009B21A3" w:rsidRPr="00A555A5">
              <w:rPr>
                <w:rStyle w:val="Hyperlink"/>
                <w:noProof/>
                <w:lang w:val="en-US"/>
              </w:rPr>
              <w:t>2.2. H</w:t>
            </w:r>
            <w:r w:rsidR="009B21A3" w:rsidRPr="00A555A5">
              <w:rPr>
                <w:rStyle w:val="Hyperlink"/>
                <w:smallCaps/>
                <w:noProof/>
                <w:lang w:val="en-US"/>
              </w:rPr>
              <w:t>ow to apply and the procedures to follow</w:t>
            </w:r>
            <w:r w:rsidR="009B21A3">
              <w:rPr>
                <w:noProof/>
                <w:webHidden/>
              </w:rPr>
              <w:tab/>
            </w:r>
            <w:r w:rsidR="009B21A3">
              <w:rPr>
                <w:noProof/>
                <w:webHidden/>
              </w:rPr>
              <w:fldChar w:fldCharType="begin"/>
            </w:r>
            <w:r w:rsidR="009B21A3">
              <w:rPr>
                <w:noProof/>
                <w:webHidden/>
              </w:rPr>
              <w:instrText xml:space="preserve"> PAGEREF _Toc5010055 \h </w:instrText>
            </w:r>
            <w:r w:rsidR="009B21A3">
              <w:rPr>
                <w:noProof/>
                <w:webHidden/>
              </w:rPr>
            </w:r>
            <w:r w:rsidR="009B21A3">
              <w:rPr>
                <w:noProof/>
                <w:webHidden/>
              </w:rPr>
              <w:fldChar w:fldCharType="separate"/>
            </w:r>
            <w:r w:rsidR="006A109C">
              <w:rPr>
                <w:noProof/>
                <w:webHidden/>
              </w:rPr>
              <w:t>20</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6" w:history="1">
            <w:r w:rsidR="009B21A3" w:rsidRPr="00A555A5">
              <w:rPr>
                <w:rStyle w:val="Hyperlink"/>
                <w:i/>
                <w:noProof/>
              </w:rPr>
              <w:t>2.2.1. Concept note content</w:t>
            </w:r>
            <w:r w:rsidR="009B21A3">
              <w:rPr>
                <w:noProof/>
                <w:webHidden/>
              </w:rPr>
              <w:tab/>
            </w:r>
            <w:r w:rsidR="009B21A3">
              <w:rPr>
                <w:noProof/>
                <w:webHidden/>
              </w:rPr>
              <w:fldChar w:fldCharType="begin"/>
            </w:r>
            <w:r w:rsidR="009B21A3">
              <w:rPr>
                <w:noProof/>
                <w:webHidden/>
              </w:rPr>
              <w:instrText xml:space="preserve"> PAGEREF _Toc5010056 \h </w:instrText>
            </w:r>
            <w:r w:rsidR="009B21A3">
              <w:rPr>
                <w:noProof/>
                <w:webHidden/>
              </w:rPr>
            </w:r>
            <w:r w:rsidR="009B21A3">
              <w:rPr>
                <w:noProof/>
                <w:webHidden/>
              </w:rPr>
              <w:fldChar w:fldCharType="separate"/>
            </w:r>
            <w:r w:rsidR="006A109C">
              <w:rPr>
                <w:noProof/>
                <w:webHidden/>
              </w:rPr>
              <w:t>20</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7" w:history="1">
            <w:r w:rsidR="009B21A3" w:rsidRPr="00A555A5">
              <w:rPr>
                <w:rStyle w:val="Hyperlink"/>
                <w:i/>
                <w:noProof/>
              </w:rPr>
              <w:t>2.2.2 Where and how to send concept notes</w:t>
            </w:r>
            <w:r w:rsidR="009B21A3">
              <w:rPr>
                <w:noProof/>
                <w:webHidden/>
              </w:rPr>
              <w:tab/>
            </w:r>
            <w:r w:rsidR="009B21A3">
              <w:rPr>
                <w:noProof/>
                <w:webHidden/>
              </w:rPr>
              <w:fldChar w:fldCharType="begin"/>
            </w:r>
            <w:r w:rsidR="009B21A3">
              <w:rPr>
                <w:noProof/>
                <w:webHidden/>
              </w:rPr>
              <w:instrText xml:space="preserve"> PAGEREF _Toc5010057 \h </w:instrText>
            </w:r>
            <w:r w:rsidR="009B21A3">
              <w:rPr>
                <w:noProof/>
                <w:webHidden/>
              </w:rPr>
            </w:r>
            <w:r w:rsidR="009B21A3">
              <w:rPr>
                <w:noProof/>
                <w:webHidden/>
              </w:rPr>
              <w:fldChar w:fldCharType="separate"/>
            </w:r>
            <w:r w:rsidR="006A109C">
              <w:rPr>
                <w:noProof/>
                <w:webHidden/>
              </w:rPr>
              <w:t>21</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8" w:history="1">
            <w:r w:rsidR="009B21A3" w:rsidRPr="00A555A5">
              <w:rPr>
                <w:rStyle w:val="Hyperlink"/>
                <w:i/>
                <w:noProof/>
              </w:rPr>
              <w:t>2.2.3. Deadline for submission of concept notes</w:t>
            </w:r>
            <w:r w:rsidR="009B21A3">
              <w:rPr>
                <w:noProof/>
                <w:webHidden/>
              </w:rPr>
              <w:tab/>
            </w:r>
            <w:r w:rsidR="009B21A3">
              <w:rPr>
                <w:noProof/>
                <w:webHidden/>
              </w:rPr>
              <w:fldChar w:fldCharType="begin"/>
            </w:r>
            <w:r w:rsidR="009B21A3">
              <w:rPr>
                <w:noProof/>
                <w:webHidden/>
              </w:rPr>
              <w:instrText xml:space="preserve"> PAGEREF _Toc5010058 \h </w:instrText>
            </w:r>
            <w:r w:rsidR="009B21A3">
              <w:rPr>
                <w:noProof/>
                <w:webHidden/>
              </w:rPr>
            </w:r>
            <w:r w:rsidR="009B21A3">
              <w:rPr>
                <w:noProof/>
                <w:webHidden/>
              </w:rPr>
              <w:fldChar w:fldCharType="separate"/>
            </w:r>
            <w:r w:rsidR="006A109C">
              <w:rPr>
                <w:noProof/>
                <w:webHidden/>
              </w:rPr>
              <w:t>22</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59" w:history="1">
            <w:r w:rsidR="009B21A3" w:rsidRPr="00A555A5">
              <w:rPr>
                <w:rStyle w:val="Hyperlink"/>
                <w:i/>
                <w:noProof/>
              </w:rPr>
              <w:t>2.2.4. Further information about concept notes</w:t>
            </w:r>
            <w:r w:rsidR="009B21A3">
              <w:rPr>
                <w:noProof/>
                <w:webHidden/>
              </w:rPr>
              <w:tab/>
            </w:r>
            <w:r w:rsidR="009B21A3">
              <w:rPr>
                <w:noProof/>
                <w:webHidden/>
              </w:rPr>
              <w:fldChar w:fldCharType="begin"/>
            </w:r>
            <w:r w:rsidR="009B21A3">
              <w:rPr>
                <w:noProof/>
                <w:webHidden/>
              </w:rPr>
              <w:instrText xml:space="preserve"> PAGEREF _Toc5010059 \h </w:instrText>
            </w:r>
            <w:r w:rsidR="009B21A3">
              <w:rPr>
                <w:noProof/>
                <w:webHidden/>
              </w:rPr>
            </w:r>
            <w:r w:rsidR="009B21A3">
              <w:rPr>
                <w:noProof/>
                <w:webHidden/>
              </w:rPr>
              <w:fldChar w:fldCharType="separate"/>
            </w:r>
            <w:r w:rsidR="006A109C">
              <w:rPr>
                <w:noProof/>
                <w:webHidden/>
              </w:rPr>
              <w:t>23</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60" w:history="1">
            <w:r w:rsidR="009B21A3" w:rsidRPr="00A555A5">
              <w:rPr>
                <w:rStyle w:val="Hyperlink"/>
                <w:i/>
                <w:noProof/>
              </w:rPr>
              <w:t>2.2.5. Full applications</w:t>
            </w:r>
            <w:r w:rsidR="009B21A3">
              <w:rPr>
                <w:noProof/>
                <w:webHidden/>
              </w:rPr>
              <w:tab/>
            </w:r>
            <w:r w:rsidR="009B21A3">
              <w:rPr>
                <w:noProof/>
                <w:webHidden/>
              </w:rPr>
              <w:fldChar w:fldCharType="begin"/>
            </w:r>
            <w:r w:rsidR="009B21A3">
              <w:rPr>
                <w:noProof/>
                <w:webHidden/>
              </w:rPr>
              <w:instrText xml:space="preserve"> PAGEREF _Toc5010060 \h </w:instrText>
            </w:r>
            <w:r w:rsidR="009B21A3">
              <w:rPr>
                <w:noProof/>
                <w:webHidden/>
              </w:rPr>
            </w:r>
            <w:r w:rsidR="009B21A3">
              <w:rPr>
                <w:noProof/>
                <w:webHidden/>
              </w:rPr>
              <w:fldChar w:fldCharType="separate"/>
            </w:r>
            <w:r w:rsidR="006A109C">
              <w:rPr>
                <w:noProof/>
                <w:webHidden/>
              </w:rPr>
              <w:t>23</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61" w:history="1">
            <w:r w:rsidR="009B21A3" w:rsidRPr="00A555A5">
              <w:rPr>
                <w:rStyle w:val="Hyperlink"/>
                <w:i/>
                <w:noProof/>
                <w:lang w:eastAsia="en-GB"/>
              </w:rPr>
              <w:t>2.2.6. Where and how to send full applications</w:t>
            </w:r>
            <w:r w:rsidR="009B21A3">
              <w:rPr>
                <w:noProof/>
                <w:webHidden/>
              </w:rPr>
              <w:tab/>
            </w:r>
            <w:r w:rsidR="009B21A3">
              <w:rPr>
                <w:noProof/>
                <w:webHidden/>
              </w:rPr>
              <w:fldChar w:fldCharType="begin"/>
            </w:r>
            <w:r w:rsidR="009B21A3">
              <w:rPr>
                <w:noProof/>
                <w:webHidden/>
              </w:rPr>
              <w:instrText xml:space="preserve"> PAGEREF _Toc5010061 \h </w:instrText>
            </w:r>
            <w:r w:rsidR="009B21A3">
              <w:rPr>
                <w:noProof/>
                <w:webHidden/>
              </w:rPr>
            </w:r>
            <w:r w:rsidR="009B21A3">
              <w:rPr>
                <w:noProof/>
                <w:webHidden/>
              </w:rPr>
              <w:fldChar w:fldCharType="separate"/>
            </w:r>
            <w:r w:rsidR="006A109C">
              <w:rPr>
                <w:noProof/>
                <w:webHidden/>
              </w:rPr>
              <w:t>24</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62" w:history="1">
            <w:r w:rsidR="009B21A3" w:rsidRPr="00A555A5">
              <w:rPr>
                <w:rStyle w:val="Hyperlink"/>
                <w:i/>
                <w:noProof/>
              </w:rPr>
              <w:t>2.2.7. Deadline for submission of full applications</w:t>
            </w:r>
            <w:r w:rsidR="009B21A3">
              <w:rPr>
                <w:noProof/>
                <w:webHidden/>
              </w:rPr>
              <w:tab/>
            </w:r>
            <w:r w:rsidR="009B21A3">
              <w:rPr>
                <w:noProof/>
                <w:webHidden/>
              </w:rPr>
              <w:fldChar w:fldCharType="begin"/>
            </w:r>
            <w:r w:rsidR="009B21A3">
              <w:rPr>
                <w:noProof/>
                <w:webHidden/>
              </w:rPr>
              <w:instrText xml:space="preserve"> PAGEREF _Toc5010062 \h </w:instrText>
            </w:r>
            <w:r w:rsidR="009B21A3">
              <w:rPr>
                <w:noProof/>
                <w:webHidden/>
              </w:rPr>
            </w:r>
            <w:r w:rsidR="009B21A3">
              <w:rPr>
                <w:noProof/>
                <w:webHidden/>
              </w:rPr>
              <w:fldChar w:fldCharType="separate"/>
            </w:r>
            <w:r w:rsidR="006A109C">
              <w:rPr>
                <w:noProof/>
                <w:webHidden/>
              </w:rPr>
              <w:t>25</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63" w:history="1">
            <w:r w:rsidR="009B21A3" w:rsidRPr="00A555A5">
              <w:rPr>
                <w:rStyle w:val="Hyperlink"/>
                <w:i/>
                <w:noProof/>
              </w:rPr>
              <w:t>2.2.8. Further information about full applications</w:t>
            </w:r>
            <w:r w:rsidR="009B21A3">
              <w:rPr>
                <w:noProof/>
                <w:webHidden/>
              </w:rPr>
              <w:tab/>
            </w:r>
            <w:r w:rsidR="009B21A3">
              <w:rPr>
                <w:noProof/>
                <w:webHidden/>
              </w:rPr>
              <w:fldChar w:fldCharType="begin"/>
            </w:r>
            <w:r w:rsidR="009B21A3">
              <w:rPr>
                <w:noProof/>
                <w:webHidden/>
              </w:rPr>
              <w:instrText xml:space="preserve"> PAGEREF _Toc5010063 \h </w:instrText>
            </w:r>
            <w:r w:rsidR="009B21A3">
              <w:rPr>
                <w:noProof/>
                <w:webHidden/>
              </w:rPr>
            </w:r>
            <w:r w:rsidR="009B21A3">
              <w:rPr>
                <w:noProof/>
                <w:webHidden/>
              </w:rPr>
              <w:fldChar w:fldCharType="separate"/>
            </w:r>
            <w:r w:rsidR="006A109C">
              <w:rPr>
                <w:noProof/>
                <w:webHidden/>
              </w:rPr>
              <w:t>26</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64" w:history="1">
            <w:r w:rsidR="009B21A3" w:rsidRPr="00A555A5">
              <w:rPr>
                <w:rStyle w:val="Hyperlink"/>
                <w:noProof/>
              </w:rPr>
              <w:t>2.3. E</w:t>
            </w:r>
            <w:r w:rsidR="009B21A3" w:rsidRPr="00A555A5">
              <w:rPr>
                <w:rStyle w:val="Hyperlink"/>
                <w:smallCaps/>
                <w:noProof/>
              </w:rPr>
              <w:t>valuation and selection of applications</w:t>
            </w:r>
            <w:r w:rsidR="009B21A3">
              <w:rPr>
                <w:noProof/>
                <w:webHidden/>
              </w:rPr>
              <w:tab/>
            </w:r>
            <w:r w:rsidR="009B21A3">
              <w:rPr>
                <w:noProof/>
                <w:webHidden/>
              </w:rPr>
              <w:fldChar w:fldCharType="begin"/>
            </w:r>
            <w:r w:rsidR="009B21A3">
              <w:rPr>
                <w:noProof/>
                <w:webHidden/>
              </w:rPr>
              <w:instrText xml:space="preserve"> PAGEREF _Toc5010064 \h </w:instrText>
            </w:r>
            <w:r w:rsidR="009B21A3">
              <w:rPr>
                <w:noProof/>
                <w:webHidden/>
              </w:rPr>
            </w:r>
            <w:r w:rsidR="009B21A3">
              <w:rPr>
                <w:noProof/>
                <w:webHidden/>
              </w:rPr>
              <w:fldChar w:fldCharType="separate"/>
            </w:r>
            <w:r w:rsidR="006A109C">
              <w:rPr>
                <w:noProof/>
                <w:webHidden/>
              </w:rPr>
              <w:t>26</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65" w:history="1">
            <w:r w:rsidR="009B21A3" w:rsidRPr="00A555A5">
              <w:rPr>
                <w:rStyle w:val="Hyperlink"/>
                <w:noProof/>
              </w:rPr>
              <w:t>2.4. S</w:t>
            </w:r>
            <w:r w:rsidR="009B21A3" w:rsidRPr="00A555A5">
              <w:rPr>
                <w:rStyle w:val="Hyperlink"/>
                <w:smallCaps/>
                <w:noProof/>
              </w:rPr>
              <w:t>ubmission of supporting documents for provisionally selected applications</w:t>
            </w:r>
            <w:r w:rsidR="009B21A3">
              <w:rPr>
                <w:noProof/>
                <w:webHidden/>
              </w:rPr>
              <w:tab/>
            </w:r>
            <w:r w:rsidR="009B21A3">
              <w:rPr>
                <w:noProof/>
                <w:webHidden/>
              </w:rPr>
              <w:fldChar w:fldCharType="begin"/>
            </w:r>
            <w:r w:rsidR="009B21A3">
              <w:rPr>
                <w:noProof/>
                <w:webHidden/>
              </w:rPr>
              <w:instrText xml:space="preserve"> PAGEREF _Toc5010065 \h </w:instrText>
            </w:r>
            <w:r w:rsidR="009B21A3">
              <w:rPr>
                <w:noProof/>
                <w:webHidden/>
              </w:rPr>
            </w:r>
            <w:r w:rsidR="009B21A3">
              <w:rPr>
                <w:noProof/>
                <w:webHidden/>
              </w:rPr>
              <w:fldChar w:fldCharType="separate"/>
            </w:r>
            <w:r w:rsidR="006A109C">
              <w:rPr>
                <w:noProof/>
                <w:webHidden/>
              </w:rPr>
              <w:t>30</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66" w:history="1">
            <w:r w:rsidR="009B21A3" w:rsidRPr="00A555A5">
              <w:rPr>
                <w:rStyle w:val="Hyperlink"/>
                <w:noProof/>
              </w:rPr>
              <w:t>2.5. N</w:t>
            </w:r>
            <w:r w:rsidR="009B21A3" w:rsidRPr="00A555A5">
              <w:rPr>
                <w:rStyle w:val="Hyperlink"/>
                <w:smallCaps/>
                <w:noProof/>
              </w:rPr>
              <w:t xml:space="preserve">otification of the </w:t>
            </w:r>
            <w:r w:rsidR="009B21A3" w:rsidRPr="00A555A5">
              <w:rPr>
                <w:rStyle w:val="Hyperlink"/>
                <w:noProof/>
              </w:rPr>
              <w:t>C</w:t>
            </w:r>
            <w:r w:rsidR="009B21A3" w:rsidRPr="00A555A5">
              <w:rPr>
                <w:rStyle w:val="Hyperlink"/>
                <w:smallCaps/>
                <w:noProof/>
              </w:rPr>
              <w:t xml:space="preserve">ontracting </w:t>
            </w:r>
            <w:r w:rsidR="009B21A3" w:rsidRPr="00A555A5">
              <w:rPr>
                <w:rStyle w:val="Hyperlink"/>
                <w:noProof/>
              </w:rPr>
              <w:t>A</w:t>
            </w:r>
            <w:r w:rsidR="009B21A3" w:rsidRPr="00A555A5">
              <w:rPr>
                <w:rStyle w:val="Hyperlink"/>
                <w:smallCaps/>
                <w:noProof/>
              </w:rPr>
              <w:t>uthority’s decision</w:t>
            </w:r>
            <w:r w:rsidR="009B21A3">
              <w:rPr>
                <w:noProof/>
                <w:webHidden/>
              </w:rPr>
              <w:tab/>
            </w:r>
            <w:r w:rsidR="009B21A3">
              <w:rPr>
                <w:noProof/>
                <w:webHidden/>
              </w:rPr>
              <w:fldChar w:fldCharType="begin"/>
            </w:r>
            <w:r w:rsidR="009B21A3">
              <w:rPr>
                <w:noProof/>
                <w:webHidden/>
              </w:rPr>
              <w:instrText xml:space="preserve"> PAGEREF _Toc5010066 \h </w:instrText>
            </w:r>
            <w:r w:rsidR="009B21A3">
              <w:rPr>
                <w:noProof/>
                <w:webHidden/>
              </w:rPr>
            </w:r>
            <w:r w:rsidR="009B21A3">
              <w:rPr>
                <w:noProof/>
                <w:webHidden/>
              </w:rPr>
              <w:fldChar w:fldCharType="separate"/>
            </w:r>
            <w:r w:rsidR="006A109C">
              <w:rPr>
                <w:noProof/>
                <w:webHidden/>
              </w:rPr>
              <w:t>32</w:t>
            </w:r>
            <w:r w:rsidR="009B21A3">
              <w:rPr>
                <w:noProof/>
                <w:webHidden/>
              </w:rPr>
              <w:fldChar w:fldCharType="end"/>
            </w:r>
          </w:hyperlink>
        </w:p>
        <w:p w:rsidR="009B21A3" w:rsidRDefault="006A0C0F">
          <w:pPr>
            <w:pStyle w:val="TOC3"/>
            <w:tabs>
              <w:tab w:val="right" w:leader="dot" w:pos="9730"/>
            </w:tabs>
            <w:rPr>
              <w:rFonts w:asciiTheme="minorHAnsi" w:eastAsiaTheme="minorEastAsia" w:hAnsiTheme="minorHAnsi" w:cstheme="minorBidi"/>
              <w:noProof/>
              <w:color w:val="auto"/>
              <w:sz w:val="22"/>
              <w:szCs w:val="22"/>
              <w:lang w:eastAsia="en-GB" w:bidi="ar-SA"/>
            </w:rPr>
          </w:pPr>
          <w:hyperlink w:anchor="_Toc5010067" w:history="1">
            <w:r w:rsidR="009B21A3" w:rsidRPr="00A555A5">
              <w:rPr>
                <w:rStyle w:val="Hyperlink"/>
                <w:i/>
                <w:noProof/>
              </w:rPr>
              <w:t>2.5.1. Content of the decision</w:t>
            </w:r>
            <w:r w:rsidR="009B21A3">
              <w:rPr>
                <w:noProof/>
                <w:webHidden/>
              </w:rPr>
              <w:tab/>
            </w:r>
            <w:r w:rsidR="009B21A3">
              <w:rPr>
                <w:noProof/>
                <w:webHidden/>
              </w:rPr>
              <w:fldChar w:fldCharType="begin"/>
            </w:r>
            <w:r w:rsidR="009B21A3">
              <w:rPr>
                <w:noProof/>
                <w:webHidden/>
              </w:rPr>
              <w:instrText xml:space="preserve"> PAGEREF _Toc5010067 \h </w:instrText>
            </w:r>
            <w:r w:rsidR="009B21A3">
              <w:rPr>
                <w:noProof/>
                <w:webHidden/>
              </w:rPr>
            </w:r>
            <w:r w:rsidR="009B21A3">
              <w:rPr>
                <w:noProof/>
                <w:webHidden/>
              </w:rPr>
              <w:fldChar w:fldCharType="separate"/>
            </w:r>
            <w:r w:rsidR="006A109C">
              <w:rPr>
                <w:noProof/>
                <w:webHidden/>
              </w:rPr>
              <w:t>32</w:t>
            </w:r>
            <w:r w:rsidR="009B21A3">
              <w:rPr>
                <w:noProof/>
                <w:webHidden/>
              </w:rPr>
              <w:fldChar w:fldCharType="end"/>
            </w:r>
          </w:hyperlink>
        </w:p>
        <w:p w:rsidR="009B21A3" w:rsidRDefault="006A0C0F">
          <w:pPr>
            <w:pStyle w:val="TOC3"/>
            <w:tabs>
              <w:tab w:val="left" w:pos="1320"/>
              <w:tab w:val="right" w:leader="dot" w:pos="9730"/>
            </w:tabs>
            <w:rPr>
              <w:rFonts w:asciiTheme="minorHAnsi" w:eastAsiaTheme="minorEastAsia" w:hAnsiTheme="minorHAnsi" w:cstheme="minorBidi"/>
              <w:noProof/>
              <w:color w:val="auto"/>
              <w:sz w:val="22"/>
              <w:szCs w:val="22"/>
              <w:lang w:eastAsia="en-GB" w:bidi="ar-SA"/>
            </w:rPr>
          </w:pPr>
          <w:hyperlink w:anchor="_Toc5010068" w:history="1">
            <w:r w:rsidR="009B21A3" w:rsidRPr="00A555A5">
              <w:rPr>
                <w:rStyle w:val="Hyperlink"/>
                <w:i/>
                <w:noProof/>
              </w:rPr>
              <w:t>2.5.2.</w:t>
            </w:r>
            <w:r w:rsidR="009B21A3">
              <w:rPr>
                <w:rFonts w:asciiTheme="minorHAnsi" w:eastAsiaTheme="minorEastAsia" w:hAnsiTheme="minorHAnsi" w:cstheme="minorBidi"/>
                <w:noProof/>
                <w:color w:val="auto"/>
                <w:sz w:val="22"/>
                <w:szCs w:val="22"/>
                <w:lang w:eastAsia="en-GB" w:bidi="ar-SA"/>
              </w:rPr>
              <w:tab/>
            </w:r>
            <w:r w:rsidR="009B21A3" w:rsidRPr="00A555A5">
              <w:rPr>
                <w:rStyle w:val="Hyperlink"/>
                <w:i/>
                <w:noProof/>
              </w:rPr>
              <w:t>Indicative Timetable</w:t>
            </w:r>
            <w:r w:rsidR="009B21A3">
              <w:rPr>
                <w:noProof/>
                <w:webHidden/>
              </w:rPr>
              <w:tab/>
            </w:r>
            <w:r w:rsidR="009B21A3">
              <w:rPr>
                <w:noProof/>
                <w:webHidden/>
              </w:rPr>
              <w:fldChar w:fldCharType="begin"/>
            </w:r>
            <w:r w:rsidR="009B21A3">
              <w:rPr>
                <w:noProof/>
                <w:webHidden/>
              </w:rPr>
              <w:instrText xml:space="preserve"> PAGEREF _Toc5010068 \h </w:instrText>
            </w:r>
            <w:r w:rsidR="009B21A3">
              <w:rPr>
                <w:noProof/>
                <w:webHidden/>
              </w:rPr>
            </w:r>
            <w:r w:rsidR="009B21A3">
              <w:rPr>
                <w:noProof/>
                <w:webHidden/>
              </w:rPr>
              <w:fldChar w:fldCharType="separate"/>
            </w:r>
            <w:r w:rsidR="006A109C">
              <w:rPr>
                <w:noProof/>
                <w:webHidden/>
              </w:rPr>
              <w:t>33</w:t>
            </w:r>
            <w:r w:rsidR="009B21A3">
              <w:rPr>
                <w:noProof/>
                <w:webHidden/>
              </w:rPr>
              <w:fldChar w:fldCharType="end"/>
            </w:r>
          </w:hyperlink>
        </w:p>
        <w:p w:rsidR="009B21A3" w:rsidRDefault="006A0C0F">
          <w:pPr>
            <w:pStyle w:val="TOC2"/>
            <w:rPr>
              <w:rFonts w:asciiTheme="minorHAnsi" w:eastAsiaTheme="minorEastAsia" w:hAnsiTheme="minorHAnsi" w:cstheme="minorBidi"/>
              <w:b w:val="0"/>
              <w:bCs w:val="0"/>
              <w:noProof/>
              <w:color w:val="auto"/>
              <w:lang w:eastAsia="en-GB" w:bidi="ar-SA"/>
            </w:rPr>
          </w:pPr>
          <w:hyperlink w:anchor="_Toc5010069" w:history="1">
            <w:r w:rsidR="009B21A3" w:rsidRPr="00A555A5">
              <w:rPr>
                <w:rStyle w:val="Hyperlink"/>
                <w:noProof/>
              </w:rPr>
              <w:t>2.6. C</w:t>
            </w:r>
            <w:r w:rsidR="009B21A3" w:rsidRPr="00A555A5">
              <w:rPr>
                <w:rStyle w:val="Hyperlink"/>
                <w:smallCaps/>
                <w:noProof/>
              </w:rPr>
              <w:t xml:space="preserve">onditions for implementation after the contracting authority’s decision to </w:t>
            </w:r>
            <w:r w:rsidR="009B21A3" w:rsidRPr="00A555A5">
              <w:rPr>
                <w:rStyle w:val="Hyperlink"/>
                <w:noProof/>
              </w:rPr>
              <w:t>AWARD A GRANT</w:t>
            </w:r>
            <w:r w:rsidR="009B21A3">
              <w:rPr>
                <w:noProof/>
                <w:webHidden/>
              </w:rPr>
              <w:tab/>
            </w:r>
            <w:r w:rsidR="009B21A3">
              <w:rPr>
                <w:noProof/>
                <w:webHidden/>
              </w:rPr>
              <w:fldChar w:fldCharType="begin"/>
            </w:r>
            <w:r w:rsidR="009B21A3">
              <w:rPr>
                <w:noProof/>
                <w:webHidden/>
              </w:rPr>
              <w:instrText xml:space="preserve"> PAGEREF _Toc5010069 \h </w:instrText>
            </w:r>
            <w:r w:rsidR="009B21A3">
              <w:rPr>
                <w:noProof/>
                <w:webHidden/>
              </w:rPr>
            </w:r>
            <w:r w:rsidR="009B21A3">
              <w:rPr>
                <w:noProof/>
                <w:webHidden/>
              </w:rPr>
              <w:fldChar w:fldCharType="separate"/>
            </w:r>
            <w:r w:rsidR="006A109C">
              <w:rPr>
                <w:noProof/>
                <w:webHidden/>
              </w:rPr>
              <w:t>33</w:t>
            </w:r>
            <w:r w:rsidR="009B21A3">
              <w:rPr>
                <w:noProof/>
                <w:webHidden/>
              </w:rPr>
              <w:fldChar w:fldCharType="end"/>
            </w:r>
          </w:hyperlink>
        </w:p>
        <w:p w:rsidR="009B21A3" w:rsidRDefault="006A0C0F">
          <w:pPr>
            <w:pStyle w:val="TOC1"/>
            <w:tabs>
              <w:tab w:val="right" w:leader="dot" w:pos="9730"/>
            </w:tabs>
            <w:rPr>
              <w:rFonts w:asciiTheme="minorHAnsi" w:eastAsiaTheme="minorEastAsia" w:hAnsiTheme="minorHAnsi" w:cstheme="minorBidi"/>
              <w:noProof/>
              <w:color w:val="auto"/>
              <w:sz w:val="22"/>
              <w:szCs w:val="22"/>
              <w:lang w:eastAsia="en-GB" w:bidi="ar-SA"/>
            </w:rPr>
          </w:pPr>
          <w:hyperlink w:anchor="_Toc5010070" w:history="1">
            <w:r w:rsidR="009B21A3" w:rsidRPr="00A555A5">
              <w:rPr>
                <w:rStyle w:val="Hyperlink"/>
                <w:noProof/>
              </w:rPr>
              <w:t>3. LIST OF ANNEXES</w:t>
            </w:r>
            <w:r w:rsidR="009B21A3">
              <w:rPr>
                <w:noProof/>
                <w:webHidden/>
              </w:rPr>
              <w:tab/>
            </w:r>
            <w:r w:rsidR="009B21A3">
              <w:rPr>
                <w:noProof/>
                <w:webHidden/>
              </w:rPr>
              <w:fldChar w:fldCharType="begin"/>
            </w:r>
            <w:r w:rsidR="009B21A3">
              <w:rPr>
                <w:noProof/>
                <w:webHidden/>
              </w:rPr>
              <w:instrText xml:space="preserve"> PAGEREF _Toc5010070 \h </w:instrText>
            </w:r>
            <w:r w:rsidR="009B21A3">
              <w:rPr>
                <w:noProof/>
                <w:webHidden/>
              </w:rPr>
            </w:r>
            <w:r w:rsidR="009B21A3">
              <w:rPr>
                <w:noProof/>
                <w:webHidden/>
              </w:rPr>
              <w:fldChar w:fldCharType="separate"/>
            </w:r>
            <w:r w:rsidR="006A109C">
              <w:rPr>
                <w:noProof/>
                <w:webHidden/>
              </w:rPr>
              <w:t>35</w:t>
            </w:r>
            <w:r w:rsidR="009B21A3">
              <w:rPr>
                <w:noProof/>
                <w:webHidden/>
              </w:rPr>
              <w:fldChar w:fldCharType="end"/>
            </w:r>
          </w:hyperlink>
        </w:p>
        <w:p w:rsidR="0076698D" w:rsidRDefault="00D731A5" w:rsidP="009763AA">
          <w:r w:rsidRPr="006C5090">
            <w:fldChar w:fldCharType="end"/>
          </w:r>
        </w:p>
      </w:sdtContent>
    </w:sdt>
    <w:p w:rsidR="0076698D" w:rsidRDefault="0076698D" w:rsidP="007C2B43">
      <w:pPr>
        <w:pStyle w:val="Bodytext60"/>
        <w:shd w:val="clear" w:color="auto" w:fill="auto"/>
        <w:spacing w:after="608" w:line="240" w:lineRule="auto"/>
      </w:pPr>
    </w:p>
    <w:p w:rsidR="002A5706" w:rsidRDefault="002A5706" w:rsidP="009763AA">
      <w:pPr>
        <w:rPr>
          <w:rFonts w:eastAsiaTheme="majorEastAsia"/>
          <w:b/>
          <w:bCs/>
          <w:color w:val="auto"/>
        </w:rPr>
      </w:pPr>
      <w:bookmarkStart w:id="4" w:name="bookmark7"/>
      <w:r>
        <w:rPr>
          <w:color w:val="auto"/>
        </w:rPr>
        <w:br w:type="page"/>
      </w:r>
    </w:p>
    <w:p w:rsidR="00D14917" w:rsidRPr="00F15608" w:rsidRDefault="00F15608" w:rsidP="009763AA">
      <w:pPr>
        <w:pStyle w:val="Heading1"/>
        <w:numPr>
          <w:ilvl w:val="0"/>
          <w:numId w:val="44"/>
        </w:numPr>
        <w:jc w:val="both"/>
        <w:rPr>
          <w:rFonts w:ascii="Times New Roman" w:hAnsi="Times New Roman" w:cs="Times New Roman"/>
          <w:color w:val="auto"/>
          <w:sz w:val="24"/>
          <w:szCs w:val="24"/>
        </w:rPr>
      </w:pPr>
      <w:bookmarkStart w:id="5" w:name="_Toc5010044"/>
      <w:r w:rsidRPr="00F15608">
        <w:rPr>
          <w:rFonts w:ascii="Times New Roman" w:hAnsi="Times New Roman" w:cs="Times New Roman"/>
          <w:color w:val="auto"/>
          <w:sz w:val="24"/>
          <w:szCs w:val="24"/>
        </w:rPr>
        <w:lastRenderedPageBreak/>
        <w:t>CSF III: CALL FOR PROPOSALS FOR LARGE GRANTS 2019–</w:t>
      </w:r>
      <w:bookmarkEnd w:id="5"/>
      <w:r w:rsidRPr="00F15608">
        <w:rPr>
          <w:rFonts w:ascii="Times New Roman" w:hAnsi="Times New Roman" w:cs="Times New Roman"/>
          <w:color w:val="auto"/>
          <w:sz w:val="24"/>
          <w:szCs w:val="24"/>
        </w:rPr>
        <w:t xml:space="preserve"> </w:t>
      </w:r>
    </w:p>
    <w:p w:rsidR="00F15608" w:rsidRDefault="00F15608" w:rsidP="00480E34">
      <w:pPr>
        <w:pStyle w:val="NoSpacing"/>
        <w:rPr>
          <w:b/>
          <w:lang w:eastAsia="nl-NL" w:bidi="nl-NL"/>
        </w:rPr>
      </w:pPr>
    </w:p>
    <w:p w:rsidR="003649DA" w:rsidRPr="00C12408" w:rsidRDefault="00C12408" w:rsidP="00480E34">
      <w:pPr>
        <w:pStyle w:val="NoSpacing"/>
        <w:rPr>
          <w:b/>
        </w:rPr>
      </w:pPr>
      <w:r w:rsidRPr="00C12408">
        <w:rPr>
          <w:b/>
          <w:lang w:eastAsia="nl-NL" w:bidi="nl-NL"/>
        </w:rPr>
        <w:t>THE PARTICIPATION OF CITIZENS AND CIVIL SOCIETY ORGANISATIONS IN THE DEVELOPMENT AND DEMOCRATISATION PROCESS OF THE COUNTRY</w:t>
      </w:r>
      <w:bookmarkStart w:id="6" w:name="bookmark8"/>
      <w:bookmarkEnd w:id="4"/>
    </w:p>
    <w:p w:rsidR="000B5BFC" w:rsidRPr="00F15608" w:rsidRDefault="00F15608">
      <w:pPr>
        <w:pStyle w:val="Heading2"/>
        <w:rPr>
          <w:rFonts w:ascii="Times New Roman" w:hAnsi="Times New Roman" w:cs="Times New Roman"/>
          <w:color w:val="auto"/>
          <w:sz w:val="24"/>
          <w:szCs w:val="24"/>
        </w:rPr>
      </w:pPr>
      <w:bookmarkStart w:id="7" w:name="_Toc5010045"/>
      <w:r>
        <w:rPr>
          <w:rFonts w:ascii="Times New Roman" w:hAnsi="Times New Roman" w:cs="Times New Roman"/>
          <w:color w:val="auto"/>
          <w:sz w:val="24"/>
          <w:szCs w:val="24"/>
          <w:lang w:eastAsia="nl-NL"/>
        </w:rPr>
        <w:t xml:space="preserve">1.1 </w:t>
      </w:r>
      <w:r w:rsidR="00764274" w:rsidRPr="00F15608">
        <w:rPr>
          <w:rFonts w:ascii="Times New Roman" w:hAnsi="Times New Roman" w:cs="Times New Roman"/>
          <w:color w:val="auto"/>
          <w:sz w:val="24"/>
          <w:szCs w:val="24"/>
          <w:lang w:eastAsia="nl-NL"/>
        </w:rPr>
        <w:t>B</w:t>
      </w:r>
      <w:r w:rsidR="00764274" w:rsidRPr="00F15608">
        <w:rPr>
          <w:rStyle w:val="Bodytext7SmallCaps"/>
          <w:rFonts w:ascii="Times New Roman" w:hAnsi="Times New Roman" w:cs="Times New Roman"/>
          <w:b/>
          <w:color w:val="auto"/>
          <w:sz w:val="24"/>
          <w:szCs w:val="24"/>
          <w:lang w:eastAsia="nl-NL" w:bidi="nl-NL"/>
        </w:rPr>
        <w:t>ackground</w:t>
      </w:r>
      <w:bookmarkEnd w:id="6"/>
      <w:bookmarkEnd w:id="7"/>
    </w:p>
    <w:p w:rsidR="00F15608" w:rsidRDefault="00F15608">
      <w:pPr>
        <w:pStyle w:val="NoSpacing"/>
        <w:jc w:val="both"/>
        <w:rPr>
          <w:sz w:val="22"/>
          <w:szCs w:val="22"/>
        </w:rPr>
      </w:pPr>
    </w:p>
    <w:p w:rsidR="00FA4BFB" w:rsidRPr="00C12408" w:rsidRDefault="007C5E19">
      <w:pPr>
        <w:pStyle w:val="NoSpacing"/>
        <w:jc w:val="both"/>
        <w:rPr>
          <w:sz w:val="22"/>
          <w:szCs w:val="22"/>
        </w:rPr>
      </w:pPr>
      <w:r w:rsidRPr="00C12408">
        <w:rPr>
          <w:sz w:val="22"/>
          <w:szCs w:val="22"/>
        </w:rPr>
        <w:t xml:space="preserve">The Cotonou Agreement is the overarching framework for EU relations with African, Caribbean and Pacific (ACP) </w:t>
      </w:r>
      <w:r w:rsidR="00082DB0" w:rsidRPr="00C12408">
        <w:rPr>
          <w:sz w:val="22"/>
          <w:szCs w:val="22"/>
        </w:rPr>
        <w:t xml:space="preserve">group of </w:t>
      </w:r>
      <w:r w:rsidRPr="00C12408">
        <w:rPr>
          <w:sz w:val="22"/>
          <w:szCs w:val="22"/>
        </w:rPr>
        <w:t>countries</w:t>
      </w:r>
      <w:r w:rsidR="00FA4BFB" w:rsidRPr="00C12408">
        <w:rPr>
          <w:sz w:val="22"/>
          <w:szCs w:val="22"/>
        </w:rPr>
        <w:t>,</w:t>
      </w:r>
      <w:r w:rsidR="00701E96">
        <w:rPr>
          <w:sz w:val="22"/>
          <w:szCs w:val="22"/>
        </w:rPr>
        <w:t xml:space="preserve"> </w:t>
      </w:r>
      <w:r w:rsidR="00FA4BFB" w:rsidRPr="00C12408">
        <w:rPr>
          <w:sz w:val="22"/>
          <w:szCs w:val="22"/>
        </w:rPr>
        <w:t>signed in Cotonou in June 2000</w:t>
      </w:r>
      <w:r w:rsidR="00082DB0" w:rsidRPr="00C12408">
        <w:rPr>
          <w:sz w:val="22"/>
          <w:szCs w:val="22"/>
        </w:rPr>
        <w:t>,</w:t>
      </w:r>
      <w:r w:rsidR="00FA4BFB" w:rsidRPr="00C12408">
        <w:rPr>
          <w:sz w:val="22"/>
          <w:szCs w:val="22"/>
        </w:rPr>
        <w:t xml:space="preserve"> and revised in Luxembourg and Ouagadougou in 2005 and 2010 </w:t>
      </w:r>
      <w:r w:rsidR="00E30AE3" w:rsidRPr="00C12408">
        <w:rPr>
          <w:sz w:val="22"/>
          <w:szCs w:val="22"/>
        </w:rPr>
        <w:t>respectively. This partnership Agreement</w:t>
      </w:r>
      <w:r w:rsidR="00701E96">
        <w:rPr>
          <w:sz w:val="22"/>
          <w:szCs w:val="22"/>
        </w:rPr>
        <w:t xml:space="preserve"> </w:t>
      </w:r>
      <w:r w:rsidR="00B719CD" w:rsidRPr="00C12408">
        <w:rPr>
          <w:sz w:val="22"/>
          <w:szCs w:val="22"/>
        </w:rPr>
        <w:t>covers a 20-year period from</w:t>
      </w:r>
      <w:r w:rsidR="00E30AE3" w:rsidRPr="00C12408">
        <w:rPr>
          <w:sz w:val="22"/>
          <w:szCs w:val="22"/>
        </w:rPr>
        <w:t xml:space="preserve"> 2000 to 2020. </w:t>
      </w:r>
      <w:r w:rsidR="00951269" w:rsidRPr="00C12408">
        <w:rPr>
          <w:sz w:val="22"/>
          <w:szCs w:val="22"/>
        </w:rPr>
        <w:t xml:space="preserve">The EU finances most of its development </w:t>
      </w:r>
      <w:proofErr w:type="spellStart"/>
      <w:r w:rsidR="00951269" w:rsidRPr="00C12408">
        <w:rPr>
          <w:sz w:val="22"/>
          <w:szCs w:val="22"/>
        </w:rPr>
        <w:t>programmes</w:t>
      </w:r>
      <w:proofErr w:type="spellEnd"/>
      <w:r w:rsidR="00951269" w:rsidRPr="00C12408">
        <w:rPr>
          <w:sz w:val="22"/>
          <w:szCs w:val="22"/>
        </w:rPr>
        <w:t xml:space="preserve"> for ACP partner countries through the European </w:t>
      </w:r>
      <w:r w:rsidR="00B719CD" w:rsidRPr="00C12408">
        <w:rPr>
          <w:sz w:val="22"/>
          <w:szCs w:val="22"/>
        </w:rPr>
        <w:t>D</w:t>
      </w:r>
      <w:r w:rsidR="00951269" w:rsidRPr="00C12408">
        <w:rPr>
          <w:sz w:val="22"/>
          <w:szCs w:val="22"/>
        </w:rPr>
        <w:t xml:space="preserve">evelopment </w:t>
      </w:r>
      <w:r w:rsidR="00B719CD" w:rsidRPr="00C12408">
        <w:rPr>
          <w:sz w:val="22"/>
          <w:szCs w:val="22"/>
        </w:rPr>
        <w:t>F</w:t>
      </w:r>
      <w:r w:rsidR="00951269" w:rsidRPr="00C12408">
        <w:rPr>
          <w:sz w:val="22"/>
          <w:szCs w:val="22"/>
        </w:rPr>
        <w:t xml:space="preserve">und (EDF). </w:t>
      </w:r>
      <w:r w:rsidR="00FA4BFB" w:rsidRPr="00C12408">
        <w:rPr>
          <w:sz w:val="22"/>
          <w:szCs w:val="22"/>
        </w:rPr>
        <w:t>The Cotonou Agreement aims to reduce and eventually eradicate poverty and contribute to the gradual integration of the ACP countries into the world economy. The Cotonou agreement will expire in February 2020. Work has begun to lay the groundwork for the future partnership with the ACP countries.</w:t>
      </w:r>
      <w:r w:rsidR="00701E96">
        <w:rPr>
          <w:sz w:val="22"/>
          <w:szCs w:val="22"/>
        </w:rPr>
        <w:t xml:space="preserve">  </w:t>
      </w:r>
      <w:r w:rsidR="00E30AE3" w:rsidRPr="00C12408">
        <w:rPr>
          <w:sz w:val="22"/>
          <w:szCs w:val="22"/>
        </w:rPr>
        <w:t>The development cooperation between Ethiopia and the European Union is governed by this partnership Agreement.</w:t>
      </w:r>
    </w:p>
    <w:p w:rsidR="00FA4BFB" w:rsidRPr="00C12408" w:rsidRDefault="00FA4BFB">
      <w:pPr>
        <w:pStyle w:val="NoSpacing"/>
        <w:jc w:val="both"/>
        <w:rPr>
          <w:sz w:val="22"/>
          <w:szCs w:val="22"/>
        </w:rPr>
      </w:pPr>
    </w:p>
    <w:p w:rsidR="00207975" w:rsidRPr="00C12408" w:rsidRDefault="00207975">
      <w:pPr>
        <w:pStyle w:val="NoSpacing"/>
        <w:jc w:val="both"/>
        <w:rPr>
          <w:sz w:val="22"/>
          <w:szCs w:val="22"/>
        </w:rPr>
      </w:pPr>
      <w:r w:rsidRPr="00C12408">
        <w:rPr>
          <w:sz w:val="22"/>
          <w:szCs w:val="22"/>
        </w:rPr>
        <w:t>Although Ethiopia has a long history of mutual self-help organizations and informal community groups, the establishment of formal charities and societies is a relatively recent development.</w:t>
      </w:r>
      <w:r w:rsidRPr="00C12408">
        <w:rPr>
          <w:sz w:val="22"/>
          <w:szCs w:val="22"/>
          <w:lang w:eastAsia="en-ZW"/>
        </w:rPr>
        <w:t xml:space="preserve"> Despite the significant role expected of civil society in the socio-economic sphere, regulatory and capacity challenges to date have limited the space the sector can take up. </w:t>
      </w:r>
    </w:p>
    <w:p w:rsidR="00207975" w:rsidRPr="00C12408" w:rsidRDefault="00207975">
      <w:pPr>
        <w:pStyle w:val="NoSpacing"/>
        <w:jc w:val="both"/>
        <w:rPr>
          <w:sz w:val="22"/>
          <w:szCs w:val="22"/>
        </w:rPr>
      </w:pPr>
    </w:p>
    <w:p w:rsidR="00207975" w:rsidRPr="00C12408" w:rsidRDefault="00070510">
      <w:pPr>
        <w:pStyle w:val="NoSpacing"/>
        <w:jc w:val="both"/>
        <w:rPr>
          <w:sz w:val="22"/>
          <w:szCs w:val="22"/>
        </w:rPr>
      </w:pPr>
      <w:r w:rsidRPr="00C12408">
        <w:rPr>
          <w:sz w:val="22"/>
          <w:szCs w:val="22"/>
        </w:rPr>
        <w:t>Until recently, t</w:t>
      </w:r>
      <w:r w:rsidR="00207975" w:rsidRPr="00C12408">
        <w:rPr>
          <w:sz w:val="22"/>
          <w:szCs w:val="22"/>
        </w:rPr>
        <w:t xml:space="preserve">he regulatory framework in place since 2009 governing the operation of the civil society in Ethiopia </w:t>
      </w:r>
      <w:r w:rsidRPr="00C12408">
        <w:rPr>
          <w:sz w:val="22"/>
          <w:szCs w:val="22"/>
        </w:rPr>
        <w:t>was</w:t>
      </w:r>
      <w:r w:rsidR="00207975" w:rsidRPr="00C12408">
        <w:rPr>
          <w:sz w:val="22"/>
          <w:szCs w:val="22"/>
        </w:rPr>
        <w:t xml:space="preserve"> the Charities and Societies Proclamation </w:t>
      </w:r>
      <w:r w:rsidR="00082DB0" w:rsidRPr="00C12408">
        <w:rPr>
          <w:sz w:val="22"/>
          <w:szCs w:val="22"/>
        </w:rPr>
        <w:t>No. 621/2009</w:t>
      </w:r>
      <w:r w:rsidR="00207975" w:rsidRPr="00C12408">
        <w:rPr>
          <w:sz w:val="22"/>
          <w:szCs w:val="22"/>
        </w:rPr>
        <w:t xml:space="preserve">. This proclamation profoundly re-oriented the shaping of, and rules relating to, associational life among Ethiopia’s citizens by </w:t>
      </w:r>
      <w:r w:rsidRPr="00C12408">
        <w:rPr>
          <w:sz w:val="22"/>
          <w:szCs w:val="22"/>
        </w:rPr>
        <w:t xml:space="preserve">imposing restrictions on </w:t>
      </w:r>
      <w:r w:rsidR="00207975" w:rsidRPr="00C12408">
        <w:rPr>
          <w:sz w:val="22"/>
          <w:szCs w:val="22"/>
        </w:rPr>
        <w:t xml:space="preserve">how civil society organizations can operate. Following consultations at national and regional levels, a new law </w:t>
      </w:r>
      <w:r w:rsidR="00082DB0" w:rsidRPr="00C12408">
        <w:rPr>
          <w:sz w:val="22"/>
          <w:szCs w:val="22"/>
        </w:rPr>
        <w:t>(Civil Society Proclamation 1113/2019) w</w:t>
      </w:r>
      <w:r w:rsidRPr="00C12408">
        <w:rPr>
          <w:sz w:val="22"/>
          <w:szCs w:val="22"/>
        </w:rPr>
        <w:t xml:space="preserve">as approved by </w:t>
      </w:r>
      <w:r w:rsidR="00082DB0" w:rsidRPr="00C12408">
        <w:rPr>
          <w:sz w:val="22"/>
          <w:szCs w:val="22"/>
        </w:rPr>
        <w:t xml:space="preserve">the House of People’s </w:t>
      </w:r>
      <w:r w:rsidR="00701E96" w:rsidRPr="00C12408">
        <w:rPr>
          <w:sz w:val="22"/>
          <w:szCs w:val="22"/>
        </w:rPr>
        <w:t>Representatives</w:t>
      </w:r>
      <w:r w:rsidR="00082DB0" w:rsidRPr="00C12408">
        <w:rPr>
          <w:sz w:val="22"/>
          <w:szCs w:val="22"/>
        </w:rPr>
        <w:t xml:space="preserve"> on 05 February 2019.</w:t>
      </w:r>
      <w:r w:rsidR="00207975" w:rsidRPr="00C12408">
        <w:rPr>
          <w:sz w:val="22"/>
          <w:szCs w:val="22"/>
        </w:rPr>
        <w:t xml:space="preserve"> While the new proclamation will give a significant boost to the operation of civil society, the limited financial and operational capacities </w:t>
      </w:r>
      <w:r w:rsidRPr="00C12408">
        <w:rPr>
          <w:sz w:val="22"/>
          <w:szCs w:val="22"/>
        </w:rPr>
        <w:t xml:space="preserve">of CSOs </w:t>
      </w:r>
      <w:r w:rsidR="00B719CD" w:rsidRPr="00C12408">
        <w:rPr>
          <w:sz w:val="22"/>
          <w:szCs w:val="22"/>
        </w:rPr>
        <w:t xml:space="preserve">still </w:t>
      </w:r>
      <w:r w:rsidR="00207975" w:rsidRPr="00C12408">
        <w:rPr>
          <w:sz w:val="22"/>
          <w:szCs w:val="22"/>
        </w:rPr>
        <w:t>need to be addressed if the sector is to become vibrant again</w:t>
      </w:r>
      <w:r w:rsidRPr="00C12408">
        <w:rPr>
          <w:sz w:val="22"/>
          <w:szCs w:val="22"/>
        </w:rPr>
        <w:t>,</w:t>
      </w:r>
      <w:r w:rsidR="00207975" w:rsidRPr="00C12408">
        <w:rPr>
          <w:sz w:val="22"/>
          <w:szCs w:val="22"/>
        </w:rPr>
        <w:t xml:space="preserve"> and take up its rightful space in the country’s political, social and economic </w:t>
      </w:r>
      <w:r w:rsidRPr="00C12408">
        <w:rPr>
          <w:sz w:val="22"/>
          <w:szCs w:val="22"/>
        </w:rPr>
        <w:t>spheres</w:t>
      </w:r>
      <w:r w:rsidR="00207975" w:rsidRPr="00C12408">
        <w:rPr>
          <w:sz w:val="22"/>
          <w:szCs w:val="22"/>
        </w:rPr>
        <w:t xml:space="preserve">.    </w:t>
      </w:r>
    </w:p>
    <w:p w:rsidR="00207975" w:rsidRPr="00C12408" w:rsidRDefault="00207975">
      <w:pPr>
        <w:pStyle w:val="NoSpacing"/>
        <w:jc w:val="both"/>
        <w:rPr>
          <w:sz w:val="22"/>
          <w:szCs w:val="22"/>
        </w:rPr>
      </w:pPr>
    </w:p>
    <w:p w:rsidR="00207975" w:rsidRPr="00C12408" w:rsidRDefault="00207975">
      <w:pPr>
        <w:pStyle w:val="NoSpacing"/>
        <w:jc w:val="both"/>
        <w:rPr>
          <w:sz w:val="22"/>
          <w:szCs w:val="22"/>
        </w:rPr>
      </w:pPr>
      <w:r w:rsidRPr="00C12408">
        <w:rPr>
          <w:sz w:val="22"/>
          <w:szCs w:val="22"/>
        </w:rPr>
        <w:t xml:space="preserve">The European Union’s (EU) support to civil society stems from its conviction that a genuinely independent, pluralistic and vibrant civil society is central to </w:t>
      </w:r>
      <w:r w:rsidR="00070510" w:rsidRPr="00C12408">
        <w:rPr>
          <w:sz w:val="22"/>
          <w:szCs w:val="22"/>
        </w:rPr>
        <w:t>a</w:t>
      </w:r>
      <w:r w:rsidRPr="00C12408">
        <w:rPr>
          <w:sz w:val="22"/>
          <w:szCs w:val="22"/>
        </w:rPr>
        <w:t xml:space="preserve"> country’s development and stability, to ensuring democracy and human rights, building inclusive societies and </w:t>
      </w:r>
      <w:r w:rsidR="000B3E51" w:rsidRPr="00C12408">
        <w:rPr>
          <w:sz w:val="22"/>
          <w:szCs w:val="22"/>
        </w:rPr>
        <w:t>to</w:t>
      </w:r>
      <w:r w:rsidRPr="00C12408">
        <w:rPr>
          <w:sz w:val="22"/>
          <w:szCs w:val="22"/>
        </w:rPr>
        <w:t xml:space="preserve"> achieving the Sustainable Development Goals (SDGs). The EU-supported Civil Society Fund (CSF) </w:t>
      </w:r>
      <w:r w:rsidR="00070510" w:rsidRPr="00C12408">
        <w:rPr>
          <w:sz w:val="22"/>
          <w:szCs w:val="22"/>
        </w:rPr>
        <w:t xml:space="preserve">in Ethiopia </w:t>
      </w:r>
      <w:r w:rsidRPr="00C12408">
        <w:rPr>
          <w:sz w:val="22"/>
          <w:szCs w:val="22"/>
        </w:rPr>
        <w:t>started in 2006, and was implemented up to the end of 2018 in two phases. Following the successful implementation and lessons learnt from the two previous interventions, CSF-III started implementation in December 2018.</w:t>
      </w:r>
      <w:r w:rsidRPr="00C12408">
        <w:rPr>
          <w:rStyle w:val="FootnoteReference"/>
          <w:sz w:val="22"/>
          <w:szCs w:val="22"/>
          <w:lang w:val="en-ZW"/>
        </w:rPr>
        <w:footnoteReference w:id="5"/>
      </w:r>
    </w:p>
    <w:p w:rsidR="000B3E51" w:rsidRPr="00070510" w:rsidRDefault="000B3E51" w:rsidP="007C2B43">
      <w:pPr>
        <w:autoSpaceDE w:val="0"/>
        <w:autoSpaceDN w:val="0"/>
        <w:adjustRightInd w:val="0"/>
        <w:jc w:val="both"/>
        <w:rPr>
          <w:lang w:val="en-ZW"/>
        </w:rPr>
      </w:pPr>
    </w:p>
    <w:p w:rsidR="000B5BFC" w:rsidRPr="00E63995" w:rsidRDefault="00E63995" w:rsidP="009763AA">
      <w:pPr>
        <w:pStyle w:val="Heading2"/>
        <w:rPr>
          <w:rFonts w:ascii="Times New Roman" w:hAnsi="Times New Roman" w:cs="Times New Roman"/>
          <w:color w:val="auto"/>
        </w:rPr>
      </w:pPr>
      <w:bookmarkStart w:id="8" w:name="_Toc5010046"/>
      <w:r>
        <w:rPr>
          <w:rStyle w:val="Bodytext711pt"/>
          <w:rFonts w:ascii="Times New Roman" w:hAnsi="Times New Roman" w:cs="Times New Roman"/>
          <w:b/>
          <w:color w:val="auto"/>
          <w:sz w:val="24"/>
          <w:szCs w:val="24"/>
        </w:rPr>
        <w:t xml:space="preserve">1.2 </w:t>
      </w:r>
      <w:r w:rsidR="00764274" w:rsidRPr="00E63995">
        <w:rPr>
          <w:rStyle w:val="Bodytext711pt"/>
          <w:rFonts w:ascii="Times New Roman" w:hAnsi="Times New Roman" w:cs="Times New Roman"/>
          <w:b/>
          <w:color w:val="auto"/>
          <w:sz w:val="24"/>
          <w:szCs w:val="24"/>
        </w:rPr>
        <w:t>O</w:t>
      </w:r>
      <w:r w:rsidR="00764274" w:rsidRPr="00E63995">
        <w:rPr>
          <w:rStyle w:val="Bodytext7SmallCaps"/>
          <w:rFonts w:ascii="Times New Roman" w:hAnsi="Times New Roman" w:cs="Times New Roman"/>
          <w:b/>
          <w:color w:val="auto"/>
          <w:sz w:val="24"/>
          <w:szCs w:val="24"/>
        </w:rPr>
        <w:t xml:space="preserve">bjectives of the programme and priority </w:t>
      </w:r>
      <w:r w:rsidR="00764274" w:rsidRPr="00E63995">
        <w:rPr>
          <w:rStyle w:val="Bodytext7SmallCaps"/>
          <w:rFonts w:ascii="Times New Roman" w:hAnsi="Times New Roman" w:cs="Times New Roman"/>
          <w:b/>
          <w:color w:val="auto"/>
          <w:sz w:val="24"/>
          <w:szCs w:val="24"/>
          <w:lang w:eastAsia="nl-NL" w:bidi="nl-NL"/>
        </w:rPr>
        <w:t>issues</w:t>
      </w:r>
      <w:bookmarkEnd w:id="8"/>
    </w:p>
    <w:p w:rsidR="00E63995" w:rsidRDefault="00E63995" w:rsidP="00480E34">
      <w:pPr>
        <w:pStyle w:val="NoSpacing"/>
      </w:pPr>
    </w:p>
    <w:p w:rsidR="00082DB0" w:rsidRDefault="00764274" w:rsidP="007C2B43">
      <w:pPr>
        <w:pStyle w:val="NoSpacing"/>
      </w:pPr>
      <w:r>
        <w:t xml:space="preserve">The </w:t>
      </w:r>
      <w:r>
        <w:rPr>
          <w:rStyle w:val="Bodytext2Bold2"/>
        </w:rPr>
        <w:t xml:space="preserve">global objective </w:t>
      </w:r>
      <w:r>
        <w:t xml:space="preserve">of this call for proposals is: </w:t>
      </w:r>
    </w:p>
    <w:p w:rsidR="000B5BFC" w:rsidRPr="00C12408" w:rsidRDefault="00082DB0" w:rsidP="007C2B43">
      <w:pPr>
        <w:pStyle w:val="NoSpacing"/>
        <w:rPr>
          <w:b/>
          <w:i/>
          <w:color w:val="FF0000"/>
          <w:sz w:val="22"/>
          <w:szCs w:val="22"/>
        </w:rPr>
      </w:pPr>
      <w:r w:rsidRPr="00C12408">
        <w:rPr>
          <w:b/>
          <w:i/>
          <w:sz w:val="22"/>
          <w:szCs w:val="22"/>
        </w:rPr>
        <w:t>T</w:t>
      </w:r>
      <w:r w:rsidR="002535E4" w:rsidRPr="00C12408">
        <w:rPr>
          <w:b/>
          <w:i/>
          <w:sz w:val="22"/>
          <w:szCs w:val="22"/>
        </w:rPr>
        <w:t>o increase the participation of citizens and CSOs in the development and democratization process of the country.</w:t>
      </w:r>
    </w:p>
    <w:p w:rsidR="000B5BFC" w:rsidRPr="00D05841" w:rsidRDefault="00764274" w:rsidP="007C2B43">
      <w:pPr>
        <w:pStyle w:val="NoSpacing"/>
      </w:pPr>
      <w:r w:rsidRPr="00D05841">
        <w:t xml:space="preserve">The </w:t>
      </w:r>
      <w:r w:rsidRPr="00D05841">
        <w:rPr>
          <w:rStyle w:val="Bodytext2Bold2"/>
        </w:rPr>
        <w:t xml:space="preserve">specific objective(s) </w:t>
      </w:r>
      <w:r w:rsidRPr="00D05841">
        <w:t>of this call for proposals are:</w:t>
      </w:r>
    </w:p>
    <w:p w:rsidR="00B77878" w:rsidRPr="00C12408" w:rsidRDefault="00B77878" w:rsidP="007C2B43">
      <w:pPr>
        <w:pStyle w:val="NoSpacing"/>
        <w:numPr>
          <w:ilvl w:val="0"/>
          <w:numId w:val="35"/>
        </w:numPr>
        <w:jc w:val="both"/>
        <w:rPr>
          <w:b/>
          <w:i/>
        </w:rPr>
      </w:pPr>
      <w:r w:rsidRPr="00C12408">
        <w:rPr>
          <w:b/>
          <w:i/>
        </w:rPr>
        <w:t>Strengthening citizens’ voice for policy dialogue;</w:t>
      </w:r>
    </w:p>
    <w:p w:rsidR="00B77878" w:rsidRPr="00C12408" w:rsidRDefault="00B77878" w:rsidP="007C2B43">
      <w:pPr>
        <w:pStyle w:val="NoSpacing"/>
        <w:numPr>
          <w:ilvl w:val="0"/>
          <w:numId w:val="35"/>
        </w:numPr>
        <w:jc w:val="both"/>
        <w:rPr>
          <w:b/>
          <w:i/>
        </w:rPr>
      </w:pPr>
      <w:r w:rsidRPr="00C12408">
        <w:rPr>
          <w:b/>
          <w:i/>
        </w:rPr>
        <w:t>Reinforcing citizens’ role in the monitoring of national policies; and,</w:t>
      </w:r>
    </w:p>
    <w:p w:rsidR="004D0F1E" w:rsidRPr="00C12408" w:rsidRDefault="00B77878" w:rsidP="007C2B43">
      <w:pPr>
        <w:pStyle w:val="NoSpacing"/>
        <w:numPr>
          <w:ilvl w:val="0"/>
          <w:numId w:val="35"/>
        </w:numPr>
        <w:jc w:val="both"/>
        <w:rPr>
          <w:b/>
          <w:i/>
        </w:rPr>
      </w:pPr>
      <w:r w:rsidRPr="00C12408">
        <w:rPr>
          <w:b/>
          <w:i/>
        </w:rPr>
        <w:t>Strengthening the sustainability and contribution of CSOs, including those working on gender equality and women’s empowerment</w:t>
      </w:r>
      <w:r w:rsidR="00A12A8A" w:rsidRPr="00C12408">
        <w:rPr>
          <w:b/>
          <w:i/>
        </w:rPr>
        <w:t>,</w:t>
      </w:r>
      <w:r w:rsidRPr="00C12408">
        <w:rPr>
          <w:b/>
          <w:i/>
        </w:rPr>
        <w:t xml:space="preserve"> and of women’s groups to the development and </w:t>
      </w:r>
      <w:r w:rsidRPr="001B12EA">
        <w:rPr>
          <w:b/>
          <w:i/>
          <w:lang w:val="en-GB"/>
        </w:rPr>
        <w:t>democratisation</w:t>
      </w:r>
      <w:r w:rsidRPr="00C12408">
        <w:rPr>
          <w:b/>
          <w:i/>
        </w:rPr>
        <w:t xml:space="preserve"> process.</w:t>
      </w:r>
    </w:p>
    <w:p w:rsidR="00D14917" w:rsidRDefault="00D14917" w:rsidP="009763AA">
      <w:bookmarkStart w:id="9" w:name="bookmark10"/>
    </w:p>
    <w:p w:rsidR="003D40CC" w:rsidRDefault="003D40CC" w:rsidP="00480E34">
      <w:pPr>
        <w:pStyle w:val="NoSpacing"/>
        <w:rPr>
          <w:b/>
        </w:rPr>
      </w:pPr>
    </w:p>
    <w:p w:rsidR="00D14917" w:rsidRPr="006373B3" w:rsidRDefault="00764274" w:rsidP="00480E34">
      <w:pPr>
        <w:pStyle w:val="NoSpacing"/>
        <w:rPr>
          <w:b/>
        </w:rPr>
      </w:pPr>
      <w:r w:rsidRPr="006373B3">
        <w:rPr>
          <w:b/>
        </w:rPr>
        <w:t>The priorit</w:t>
      </w:r>
      <w:r w:rsidR="008401B6" w:rsidRPr="006373B3">
        <w:rPr>
          <w:b/>
        </w:rPr>
        <w:t>ies</w:t>
      </w:r>
      <w:r w:rsidRPr="006373B3">
        <w:rPr>
          <w:b/>
        </w:rPr>
        <w:t xml:space="preserve"> of this call for proposals</w:t>
      </w:r>
      <w:r w:rsidR="00EA3E4C" w:rsidRPr="006373B3">
        <w:rPr>
          <w:b/>
        </w:rPr>
        <w:t xml:space="preserve"> are as follows</w:t>
      </w:r>
      <w:r w:rsidRPr="006373B3">
        <w:rPr>
          <w:b/>
        </w:rPr>
        <w:t xml:space="preserve">: </w:t>
      </w:r>
      <w:bookmarkEnd w:id="9"/>
    </w:p>
    <w:p w:rsidR="00D14917" w:rsidRPr="00D14917" w:rsidRDefault="00D14917" w:rsidP="00480E34">
      <w:pPr>
        <w:rPr>
          <w:b/>
          <w:sz w:val="22"/>
          <w:szCs w:val="22"/>
        </w:rPr>
      </w:pPr>
    </w:p>
    <w:p w:rsidR="00D10955" w:rsidRPr="006373B3" w:rsidRDefault="00A05775">
      <w:pPr>
        <w:pStyle w:val="NoSpacing"/>
        <w:numPr>
          <w:ilvl w:val="0"/>
          <w:numId w:val="36"/>
        </w:numPr>
        <w:jc w:val="both"/>
        <w:rPr>
          <w:sz w:val="22"/>
          <w:szCs w:val="22"/>
        </w:rPr>
      </w:pPr>
      <w:r w:rsidRPr="006373B3">
        <w:rPr>
          <w:sz w:val="22"/>
          <w:szCs w:val="22"/>
        </w:rPr>
        <w:t xml:space="preserve">Actions must focus on </w:t>
      </w:r>
      <w:r w:rsidR="00B719CD" w:rsidRPr="006373B3">
        <w:rPr>
          <w:sz w:val="22"/>
          <w:szCs w:val="22"/>
        </w:rPr>
        <w:t>s</w:t>
      </w:r>
      <w:r w:rsidR="00D10955" w:rsidRPr="006373B3">
        <w:rPr>
          <w:sz w:val="22"/>
          <w:szCs w:val="22"/>
        </w:rPr>
        <w:t>trengthening the capacity</w:t>
      </w:r>
      <w:r w:rsidRPr="006373B3">
        <w:rPr>
          <w:sz w:val="22"/>
          <w:szCs w:val="22"/>
        </w:rPr>
        <w:t xml:space="preserve"> of</w:t>
      </w:r>
      <w:r w:rsidR="00D10955" w:rsidRPr="006373B3">
        <w:rPr>
          <w:sz w:val="22"/>
          <w:szCs w:val="22"/>
        </w:rPr>
        <w:t xml:space="preserve"> CSOs and their networks to engage in </w:t>
      </w:r>
      <w:r w:rsidR="00D5186F" w:rsidRPr="006373B3">
        <w:rPr>
          <w:sz w:val="22"/>
          <w:szCs w:val="22"/>
        </w:rPr>
        <w:t xml:space="preserve">structured, evidence-based </w:t>
      </w:r>
      <w:r w:rsidR="00D10955" w:rsidRPr="006373B3">
        <w:rPr>
          <w:sz w:val="22"/>
          <w:szCs w:val="22"/>
        </w:rPr>
        <w:t>policy dialogue and effectively influence Government’s reform processes and nation-building interventions</w:t>
      </w:r>
      <w:r w:rsidR="00D5186F" w:rsidRPr="006373B3">
        <w:rPr>
          <w:sz w:val="22"/>
          <w:szCs w:val="22"/>
        </w:rPr>
        <w:t xml:space="preserve"> at Regional and Federal levels</w:t>
      </w:r>
      <w:r w:rsidR="00D10955" w:rsidRPr="006373B3">
        <w:rPr>
          <w:sz w:val="22"/>
          <w:szCs w:val="22"/>
        </w:rPr>
        <w:t>;</w:t>
      </w:r>
    </w:p>
    <w:p w:rsidR="00D14917" w:rsidRPr="006373B3" w:rsidRDefault="00D14917">
      <w:pPr>
        <w:pStyle w:val="NoSpacing"/>
        <w:jc w:val="both"/>
        <w:rPr>
          <w:sz w:val="22"/>
          <w:szCs w:val="22"/>
        </w:rPr>
      </w:pPr>
    </w:p>
    <w:p w:rsidR="00D10955" w:rsidRPr="006373B3" w:rsidRDefault="00A05775">
      <w:pPr>
        <w:pStyle w:val="NoSpacing"/>
        <w:numPr>
          <w:ilvl w:val="0"/>
          <w:numId w:val="36"/>
        </w:numPr>
        <w:jc w:val="both"/>
        <w:rPr>
          <w:sz w:val="22"/>
          <w:szCs w:val="22"/>
        </w:rPr>
      </w:pPr>
      <w:r w:rsidRPr="006373B3">
        <w:rPr>
          <w:sz w:val="22"/>
          <w:szCs w:val="22"/>
        </w:rPr>
        <w:t>Actions must f</w:t>
      </w:r>
      <w:r w:rsidR="00D5186F" w:rsidRPr="006373B3">
        <w:rPr>
          <w:sz w:val="22"/>
          <w:szCs w:val="22"/>
        </w:rPr>
        <w:t>acilitat</w:t>
      </w:r>
      <w:r w:rsidRPr="006373B3">
        <w:rPr>
          <w:sz w:val="22"/>
          <w:szCs w:val="22"/>
        </w:rPr>
        <w:t>e</w:t>
      </w:r>
      <w:r w:rsidR="00D5186F" w:rsidRPr="006373B3">
        <w:rPr>
          <w:sz w:val="22"/>
          <w:szCs w:val="22"/>
        </w:rPr>
        <w:t xml:space="preserve"> partnership opportunities amongst CSOs</w:t>
      </w:r>
      <w:r w:rsidR="00681967" w:rsidRPr="006373B3">
        <w:rPr>
          <w:sz w:val="22"/>
          <w:szCs w:val="22"/>
        </w:rPr>
        <w:t xml:space="preserve"> (including the media and academia)</w:t>
      </w:r>
      <w:r w:rsidR="00D5186F" w:rsidRPr="006373B3">
        <w:rPr>
          <w:sz w:val="22"/>
          <w:szCs w:val="22"/>
        </w:rPr>
        <w:t xml:space="preserve">, building on existing networks, supporting emerging networks, </w:t>
      </w:r>
      <w:r w:rsidR="003A7323" w:rsidRPr="006373B3">
        <w:rPr>
          <w:sz w:val="22"/>
          <w:szCs w:val="22"/>
        </w:rPr>
        <w:t xml:space="preserve">and encouraging the building of coalitions and </w:t>
      </w:r>
      <w:r w:rsidR="00EC3891" w:rsidRPr="006373B3">
        <w:rPr>
          <w:sz w:val="22"/>
          <w:szCs w:val="22"/>
        </w:rPr>
        <w:t xml:space="preserve">the </w:t>
      </w:r>
      <w:r w:rsidR="003A7323" w:rsidRPr="006373B3">
        <w:rPr>
          <w:sz w:val="22"/>
          <w:szCs w:val="22"/>
        </w:rPr>
        <w:t xml:space="preserve">creation of platforms to exchange knowledge and create momentum </w:t>
      </w:r>
      <w:r w:rsidR="00EA3E4C" w:rsidRPr="006373B3">
        <w:rPr>
          <w:sz w:val="22"/>
          <w:szCs w:val="22"/>
        </w:rPr>
        <w:t xml:space="preserve">and collective positions </w:t>
      </w:r>
      <w:r w:rsidR="003A7323" w:rsidRPr="006373B3">
        <w:rPr>
          <w:sz w:val="22"/>
          <w:szCs w:val="22"/>
        </w:rPr>
        <w:t>on common issues of interest;</w:t>
      </w:r>
    </w:p>
    <w:p w:rsidR="00D14917" w:rsidRPr="006373B3" w:rsidRDefault="00D14917">
      <w:pPr>
        <w:pStyle w:val="NoSpacing"/>
        <w:jc w:val="both"/>
        <w:rPr>
          <w:sz w:val="22"/>
          <w:szCs w:val="22"/>
        </w:rPr>
      </w:pPr>
    </w:p>
    <w:p w:rsidR="003A7323" w:rsidRPr="006373B3" w:rsidRDefault="00A05775">
      <w:pPr>
        <w:pStyle w:val="NoSpacing"/>
        <w:numPr>
          <w:ilvl w:val="0"/>
          <w:numId w:val="36"/>
        </w:numPr>
        <w:jc w:val="both"/>
        <w:rPr>
          <w:sz w:val="22"/>
          <w:szCs w:val="22"/>
        </w:rPr>
      </w:pPr>
      <w:r w:rsidRPr="006373B3">
        <w:rPr>
          <w:sz w:val="22"/>
          <w:szCs w:val="22"/>
        </w:rPr>
        <w:t xml:space="preserve">Actions must </w:t>
      </w:r>
      <w:r w:rsidR="00B719CD" w:rsidRPr="006373B3">
        <w:rPr>
          <w:sz w:val="22"/>
          <w:szCs w:val="22"/>
        </w:rPr>
        <w:t>s</w:t>
      </w:r>
      <w:r w:rsidR="00EA3E4C" w:rsidRPr="006373B3">
        <w:rPr>
          <w:sz w:val="22"/>
          <w:szCs w:val="22"/>
        </w:rPr>
        <w:t xml:space="preserve">upport the creation of an enabling environment to ensure the development of a credible, accountable, independent, inclusive civil society sector with the capacity and space to </w:t>
      </w:r>
      <w:r w:rsidR="00962849" w:rsidRPr="006373B3">
        <w:rPr>
          <w:sz w:val="22"/>
          <w:szCs w:val="22"/>
        </w:rPr>
        <w:t xml:space="preserve">act as an interlocutor between citizens and the state, and </w:t>
      </w:r>
      <w:r w:rsidR="00EA3E4C" w:rsidRPr="006373B3">
        <w:rPr>
          <w:sz w:val="22"/>
          <w:szCs w:val="22"/>
        </w:rPr>
        <w:t>undertake strategic engagement with all levels of Government in order to reinforce the democratic process.</w:t>
      </w:r>
    </w:p>
    <w:p w:rsidR="00082DB0" w:rsidRPr="006373B3" w:rsidRDefault="00082DB0">
      <w:pPr>
        <w:pStyle w:val="NoSpacing"/>
        <w:jc w:val="both"/>
        <w:rPr>
          <w:sz w:val="22"/>
          <w:szCs w:val="22"/>
        </w:rPr>
      </w:pPr>
    </w:p>
    <w:p w:rsidR="00DE2CA5" w:rsidRPr="006373B3" w:rsidRDefault="00681967">
      <w:pPr>
        <w:pStyle w:val="NoSpacing"/>
        <w:jc w:val="both"/>
        <w:rPr>
          <w:sz w:val="22"/>
          <w:szCs w:val="22"/>
        </w:rPr>
      </w:pPr>
      <w:r w:rsidRPr="006373B3">
        <w:rPr>
          <w:sz w:val="22"/>
          <w:szCs w:val="22"/>
        </w:rPr>
        <w:t>(</w:t>
      </w:r>
      <w:r w:rsidR="00EA3E4C" w:rsidRPr="006373B3">
        <w:rPr>
          <w:sz w:val="22"/>
          <w:szCs w:val="22"/>
        </w:rPr>
        <w:t xml:space="preserve">These priorities are </w:t>
      </w:r>
      <w:r w:rsidR="00DE2CA5" w:rsidRPr="006373B3">
        <w:rPr>
          <w:sz w:val="22"/>
          <w:szCs w:val="22"/>
        </w:rPr>
        <w:t>reflected in concept note evaluation criterion 1.1</w:t>
      </w:r>
      <w:r w:rsidRPr="006373B3">
        <w:rPr>
          <w:sz w:val="22"/>
          <w:szCs w:val="22"/>
        </w:rPr>
        <w:t>.</w:t>
      </w:r>
      <w:r w:rsidR="00DE2CA5" w:rsidRPr="006373B3">
        <w:rPr>
          <w:sz w:val="22"/>
          <w:szCs w:val="22"/>
        </w:rPr>
        <w:t>)</w:t>
      </w:r>
    </w:p>
    <w:p w:rsidR="00DE2CA5" w:rsidRPr="00D14917" w:rsidRDefault="00DE2CA5">
      <w:pPr>
        <w:widowControl/>
        <w:spacing w:before="120" w:after="120"/>
        <w:jc w:val="both"/>
        <w:rPr>
          <w:color w:val="auto"/>
          <w:sz w:val="22"/>
          <w:szCs w:val="22"/>
          <w:lang w:bidi="ar-SA"/>
        </w:rPr>
      </w:pPr>
    </w:p>
    <w:p w:rsidR="00DE2CA5" w:rsidRPr="006373B3" w:rsidRDefault="00DE2CA5" w:rsidP="007C2B43">
      <w:pPr>
        <w:pStyle w:val="NoSpacing"/>
        <w:rPr>
          <w:sz w:val="22"/>
          <w:szCs w:val="22"/>
          <w:lang w:bidi="ar-SA"/>
        </w:rPr>
      </w:pPr>
      <w:r w:rsidRPr="006373B3">
        <w:rPr>
          <w:sz w:val="22"/>
          <w:szCs w:val="22"/>
          <w:lang w:bidi="ar-SA"/>
        </w:rPr>
        <w:t xml:space="preserve">The following will be considered as added-value </w:t>
      </w:r>
      <w:r w:rsidR="00A631B6" w:rsidRPr="006373B3">
        <w:rPr>
          <w:sz w:val="22"/>
          <w:szCs w:val="22"/>
          <w:lang w:bidi="ar-SA"/>
        </w:rPr>
        <w:t xml:space="preserve">elements </w:t>
      </w:r>
      <w:r w:rsidRPr="006373B3">
        <w:rPr>
          <w:sz w:val="22"/>
          <w:szCs w:val="22"/>
          <w:lang w:bidi="ar-SA"/>
        </w:rPr>
        <w:t>(and reflected in evaluation criterion 1.4 of the concept note):</w:t>
      </w:r>
    </w:p>
    <w:p w:rsidR="00220883" w:rsidRPr="006373B3" w:rsidRDefault="00220883" w:rsidP="007C2B43">
      <w:pPr>
        <w:pStyle w:val="NoSpacing"/>
        <w:numPr>
          <w:ilvl w:val="0"/>
          <w:numId w:val="37"/>
        </w:numPr>
        <w:jc w:val="both"/>
        <w:rPr>
          <w:sz w:val="22"/>
          <w:szCs w:val="22"/>
          <w:lang w:bidi="ar-SA"/>
        </w:rPr>
      </w:pPr>
      <w:r w:rsidRPr="006373B3">
        <w:rPr>
          <w:sz w:val="22"/>
          <w:szCs w:val="22"/>
          <w:lang w:bidi="ar-SA"/>
        </w:rPr>
        <w:t xml:space="preserve">The adoption of a </w:t>
      </w:r>
      <w:r w:rsidR="00DE2CA5" w:rsidRPr="006373B3">
        <w:rPr>
          <w:sz w:val="22"/>
          <w:szCs w:val="22"/>
          <w:lang w:bidi="ar-SA"/>
        </w:rPr>
        <w:t xml:space="preserve">gender mainstreaming </w:t>
      </w:r>
      <w:r w:rsidRPr="006373B3">
        <w:rPr>
          <w:sz w:val="22"/>
          <w:szCs w:val="22"/>
          <w:lang w:bidi="ar-SA"/>
        </w:rPr>
        <w:t>approach to project design (and subsequent implementation);</w:t>
      </w:r>
    </w:p>
    <w:p w:rsidR="00DE2CA5" w:rsidRPr="006373B3" w:rsidRDefault="00220883" w:rsidP="007C2B43">
      <w:pPr>
        <w:pStyle w:val="NoSpacing"/>
        <w:numPr>
          <w:ilvl w:val="0"/>
          <w:numId w:val="37"/>
        </w:numPr>
        <w:jc w:val="both"/>
        <w:rPr>
          <w:sz w:val="22"/>
          <w:szCs w:val="22"/>
          <w:lang w:bidi="ar-SA"/>
        </w:rPr>
      </w:pPr>
      <w:r w:rsidRPr="006373B3">
        <w:rPr>
          <w:sz w:val="22"/>
          <w:szCs w:val="22"/>
          <w:lang w:bidi="ar-SA"/>
        </w:rPr>
        <w:t xml:space="preserve">The targeting of </w:t>
      </w:r>
      <w:r w:rsidR="00BB5D9D" w:rsidRPr="006373B3">
        <w:rPr>
          <w:sz w:val="22"/>
          <w:szCs w:val="22"/>
          <w:lang w:bidi="ar-SA"/>
        </w:rPr>
        <w:t xml:space="preserve">hard to reach, </w:t>
      </w:r>
      <w:r w:rsidRPr="006373B3">
        <w:rPr>
          <w:sz w:val="22"/>
          <w:szCs w:val="22"/>
          <w:lang w:bidi="ar-SA"/>
        </w:rPr>
        <w:t xml:space="preserve">vulnerable and </w:t>
      </w:r>
      <w:r w:rsidRPr="001B12EA">
        <w:rPr>
          <w:sz w:val="22"/>
          <w:szCs w:val="22"/>
          <w:lang w:val="en-GB" w:bidi="ar-SA"/>
        </w:rPr>
        <w:t>marginalised</w:t>
      </w:r>
      <w:r w:rsidRPr="006373B3">
        <w:rPr>
          <w:sz w:val="22"/>
          <w:szCs w:val="22"/>
          <w:lang w:bidi="ar-SA"/>
        </w:rPr>
        <w:t xml:space="preserve"> groups of society – including the elderly, the youth, people with disabilities, </w:t>
      </w:r>
      <w:r w:rsidR="00D05841" w:rsidRPr="006373B3">
        <w:rPr>
          <w:sz w:val="22"/>
          <w:szCs w:val="22"/>
          <w:lang w:bidi="ar-SA"/>
        </w:rPr>
        <w:t xml:space="preserve">pastoralists, </w:t>
      </w:r>
      <w:r w:rsidRPr="006373B3">
        <w:rPr>
          <w:sz w:val="22"/>
          <w:szCs w:val="22"/>
          <w:lang w:bidi="ar-SA"/>
        </w:rPr>
        <w:t>minorities</w:t>
      </w:r>
      <w:r w:rsidR="00E46B0F">
        <w:rPr>
          <w:sz w:val="22"/>
          <w:szCs w:val="22"/>
          <w:lang w:bidi="ar-SA"/>
        </w:rPr>
        <w:t xml:space="preserve"> </w:t>
      </w:r>
      <w:r w:rsidRPr="006373B3">
        <w:rPr>
          <w:sz w:val="22"/>
          <w:szCs w:val="22"/>
          <w:lang w:bidi="ar-SA"/>
        </w:rPr>
        <w:t>and those most effected by ethnic violence – and equal participation of such groups in project activities;</w:t>
      </w:r>
    </w:p>
    <w:p w:rsidR="00D5186F" w:rsidRPr="006373B3" w:rsidRDefault="00D5186F" w:rsidP="007C2B43">
      <w:pPr>
        <w:pStyle w:val="NoSpacing"/>
        <w:numPr>
          <w:ilvl w:val="0"/>
          <w:numId w:val="37"/>
        </w:numPr>
        <w:jc w:val="both"/>
        <w:rPr>
          <w:sz w:val="22"/>
          <w:szCs w:val="22"/>
          <w:lang w:bidi="ar-SA"/>
        </w:rPr>
      </w:pPr>
      <w:r w:rsidRPr="006373B3">
        <w:rPr>
          <w:sz w:val="22"/>
          <w:szCs w:val="22"/>
          <w:lang w:bidi="ar-SA"/>
        </w:rPr>
        <w:t xml:space="preserve">The incorporation of </w:t>
      </w:r>
      <w:r w:rsidR="003A7323" w:rsidRPr="006373B3">
        <w:rPr>
          <w:sz w:val="22"/>
          <w:szCs w:val="22"/>
          <w:lang w:bidi="ar-SA"/>
        </w:rPr>
        <w:t xml:space="preserve">principles that enhance social cohesion </w:t>
      </w:r>
      <w:r w:rsidR="00681967" w:rsidRPr="006373B3">
        <w:rPr>
          <w:sz w:val="22"/>
          <w:szCs w:val="22"/>
          <w:lang w:bidi="ar-SA"/>
        </w:rPr>
        <w:t xml:space="preserve">and inclusivity </w:t>
      </w:r>
      <w:r w:rsidR="003A7323" w:rsidRPr="006373B3">
        <w:rPr>
          <w:sz w:val="22"/>
          <w:szCs w:val="22"/>
          <w:lang w:bidi="ar-SA"/>
        </w:rPr>
        <w:t xml:space="preserve">in peaceful </w:t>
      </w:r>
      <w:r w:rsidR="00681967" w:rsidRPr="006373B3">
        <w:rPr>
          <w:sz w:val="22"/>
          <w:szCs w:val="22"/>
          <w:lang w:bidi="ar-SA"/>
        </w:rPr>
        <w:t>transformation</w:t>
      </w:r>
      <w:r w:rsidR="003A7323" w:rsidRPr="006373B3">
        <w:rPr>
          <w:sz w:val="22"/>
          <w:szCs w:val="22"/>
          <w:lang w:bidi="ar-SA"/>
        </w:rPr>
        <w:t>;</w:t>
      </w:r>
    </w:p>
    <w:p w:rsidR="00220883" w:rsidRPr="006373B3" w:rsidRDefault="00220883" w:rsidP="007C2B43">
      <w:pPr>
        <w:pStyle w:val="NoSpacing"/>
        <w:numPr>
          <w:ilvl w:val="0"/>
          <w:numId w:val="37"/>
        </w:numPr>
        <w:jc w:val="both"/>
        <w:rPr>
          <w:sz w:val="22"/>
          <w:szCs w:val="22"/>
          <w:lang w:bidi="ar-SA"/>
        </w:rPr>
      </w:pPr>
      <w:r w:rsidRPr="006373B3">
        <w:rPr>
          <w:sz w:val="22"/>
          <w:szCs w:val="22"/>
          <w:lang w:bidi="ar-SA"/>
        </w:rPr>
        <w:t xml:space="preserve">The </w:t>
      </w:r>
      <w:r w:rsidR="003A7323" w:rsidRPr="006373B3">
        <w:rPr>
          <w:sz w:val="22"/>
          <w:szCs w:val="22"/>
          <w:lang w:bidi="ar-SA"/>
        </w:rPr>
        <w:t>use</w:t>
      </w:r>
      <w:r w:rsidRPr="006373B3">
        <w:rPr>
          <w:sz w:val="22"/>
          <w:szCs w:val="22"/>
          <w:lang w:bidi="ar-SA"/>
        </w:rPr>
        <w:t xml:space="preserve"> of innovation and best practice</w:t>
      </w:r>
      <w:r w:rsidR="009523B7" w:rsidRPr="006373B3">
        <w:rPr>
          <w:sz w:val="22"/>
          <w:szCs w:val="22"/>
          <w:lang w:bidi="ar-SA"/>
        </w:rPr>
        <w:t>s</w:t>
      </w:r>
      <w:r w:rsidR="00BB5D9D" w:rsidRPr="006373B3">
        <w:rPr>
          <w:sz w:val="22"/>
          <w:szCs w:val="22"/>
          <w:lang w:bidi="ar-SA"/>
        </w:rPr>
        <w:t xml:space="preserve">. </w:t>
      </w:r>
    </w:p>
    <w:p w:rsidR="00DE2CA5" w:rsidRDefault="00324C1B" w:rsidP="007C2B43">
      <w:pPr>
        <w:pStyle w:val="NoSpacing"/>
        <w:rPr>
          <w:sz w:val="22"/>
          <w:szCs w:val="22"/>
        </w:rPr>
      </w:pPr>
      <w:r w:rsidRPr="00082DB0">
        <w:rPr>
          <w:sz w:val="22"/>
          <w:szCs w:val="22"/>
        </w:rPr>
        <w:t>(For further information on which kinds of activities one would have to propose in order to be eligible, please refer to section 2.1.4.)</w:t>
      </w:r>
    </w:p>
    <w:p w:rsidR="00082DB0" w:rsidRPr="00082DB0" w:rsidRDefault="00082DB0" w:rsidP="009763AA">
      <w:pPr>
        <w:pStyle w:val="NoSpacing"/>
        <w:rPr>
          <w:sz w:val="22"/>
          <w:szCs w:val="22"/>
        </w:rPr>
      </w:pPr>
    </w:p>
    <w:p w:rsidR="000B5BFC" w:rsidRPr="00434086" w:rsidRDefault="00434086" w:rsidP="00480E34">
      <w:pPr>
        <w:pStyle w:val="Heading2"/>
        <w:jc w:val="both"/>
        <w:rPr>
          <w:rFonts w:ascii="Times New Roman" w:hAnsi="Times New Roman" w:cs="Times New Roman"/>
          <w:color w:val="auto"/>
        </w:rPr>
      </w:pPr>
      <w:bookmarkStart w:id="10" w:name="_Toc5010047"/>
      <w:r>
        <w:rPr>
          <w:rStyle w:val="Bodytext711pt"/>
          <w:rFonts w:ascii="Times New Roman" w:hAnsi="Times New Roman" w:cs="Times New Roman"/>
          <w:b/>
          <w:color w:val="auto"/>
          <w:sz w:val="24"/>
          <w:szCs w:val="24"/>
        </w:rPr>
        <w:t xml:space="preserve">1.3 </w:t>
      </w:r>
      <w:r w:rsidR="00764274" w:rsidRPr="00434086">
        <w:rPr>
          <w:rStyle w:val="Bodytext711pt"/>
          <w:rFonts w:ascii="Times New Roman" w:hAnsi="Times New Roman" w:cs="Times New Roman"/>
          <w:b/>
          <w:color w:val="auto"/>
          <w:sz w:val="24"/>
          <w:szCs w:val="24"/>
        </w:rPr>
        <w:t>F</w:t>
      </w:r>
      <w:r w:rsidR="00764274" w:rsidRPr="00434086">
        <w:rPr>
          <w:rStyle w:val="Bodytext7SmallCaps"/>
          <w:rFonts w:ascii="Times New Roman" w:hAnsi="Times New Roman" w:cs="Times New Roman"/>
          <w:b/>
          <w:color w:val="auto"/>
          <w:sz w:val="24"/>
          <w:szCs w:val="24"/>
        </w:rPr>
        <w:t>inancial allocation provided by the contracting authority</w:t>
      </w:r>
      <w:bookmarkEnd w:id="10"/>
    </w:p>
    <w:p w:rsidR="00434086" w:rsidRDefault="00434086" w:rsidP="00480E34">
      <w:pPr>
        <w:pStyle w:val="NoSpacing"/>
        <w:jc w:val="both"/>
        <w:rPr>
          <w:sz w:val="22"/>
          <w:szCs w:val="22"/>
        </w:rPr>
      </w:pPr>
    </w:p>
    <w:p w:rsidR="000B5BFC" w:rsidRDefault="00764274" w:rsidP="007C2B43">
      <w:pPr>
        <w:pStyle w:val="NoSpacing"/>
        <w:jc w:val="both"/>
        <w:rPr>
          <w:sz w:val="22"/>
          <w:szCs w:val="22"/>
        </w:rPr>
      </w:pPr>
      <w:r w:rsidRPr="006373B3">
        <w:rPr>
          <w:sz w:val="22"/>
          <w:szCs w:val="22"/>
        </w:rPr>
        <w:t xml:space="preserve">The overall indicative amount made available under this call for proposals is </w:t>
      </w:r>
      <w:r w:rsidRPr="006373B3">
        <w:rPr>
          <w:b/>
          <w:sz w:val="22"/>
          <w:szCs w:val="22"/>
        </w:rPr>
        <w:t xml:space="preserve">EUR </w:t>
      </w:r>
      <w:r w:rsidR="0041458F" w:rsidRPr="006373B3">
        <w:rPr>
          <w:b/>
          <w:sz w:val="22"/>
          <w:szCs w:val="22"/>
        </w:rPr>
        <w:t>11,750,000</w:t>
      </w:r>
      <w:r w:rsidR="0041458F" w:rsidRPr="006373B3">
        <w:rPr>
          <w:sz w:val="22"/>
          <w:szCs w:val="22"/>
        </w:rPr>
        <w:t>.</w:t>
      </w:r>
      <w:r w:rsidRPr="006373B3">
        <w:rPr>
          <w:sz w:val="22"/>
          <w:szCs w:val="22"/>
        </w:rPr>
        <w:t xml:space="preserve"> The contracting authority reserves the right not to award </w:t>
      </w:r>
      <w:r w:rsidRPr="006373B3">
        <w:rPr>
          <w:sz w:val="22"/>
          <w:szCs w:val="22"/>
          <w:lang w:eastAsia="da-DK" w:bidi="da-DK"/>
        </w:rPr>
        <w:t xml:space="preserve">all </w:t>
      </w:r>
      <w:r w:rsidRPr="006373B3">
        <w:rPr>
          <w:sz w:val="22"/>
          <w:szCs w:val="22"/>
        </w:rPr>
        <w:t>available funds.</w:t>
      </w:r>
    </w:p>
    <w:p w:rsidR="006373B3" w:rsidRPr="006373B3" w:rsidRDefault="006373B3" w:rsidP="009763AA">
      <w:pPr>
        <w:pStyle w:val="NoSpacing"/>
        <w:jc w:val="both"/>
        <w:rPr>
          <w:sz w:val="22"/>
          <w:szCs w:val="22"/>
        </w:rPr>
      </w:pPr>
    </w:p>
    <w:p w:rsidR="002B08B2" w:rsidRPr="006373B3" w:rsidRDefault="00764274" w:rsidP="007C2B43">
      <w:pPr>
        <w:pStyle w:val="NoSpacing"/>
        <w:rPr>
          <w:b/>
          <w:sz w:val="22"/>
          <w:szCs w:val="22"/>
        </w:rPr>
      </w:pPr>
      <w:bookmarkStart w:id="11" w:name="bookmark11"/>
      <w:r w:rsidRPr="006373B3">
        <w:rPr>
          <w:b/>
          <w:sz w:val="22"/>
          <w:szCs w:val="22"/>
        </w:rPr>
        <w:t>Indicative allocation of funds by lot:</w:t>
      </w:r>
      <w:bookmarkEnd w:id="11"/>
    </w:p>
    <w:p w:rsidR="009D1813" w:rsidRPr="002D2401" w:rsidRDefault="009D1813" w:rsidP="007C2B43">
      <w:pPr>
        <w:pStyle w:val="NoSpacing"/>
        <w:jc w:val="both"/>
        <w:rPr>
          <w:b/>
        </w:rPr>
      </w:pPr>
      <w:r w:rsidRPr="002D2401">
        <w:rPr>
          <w:b/>
        </w:rPr>
        <w:t>Lot 1:</w:t>
      </w:r>
      <w:r w:rsidRPr="002D2401">
        <w:rPr>
          <w:b/>
        </w:rPr>
        <w:tab/>
        <w:t>Democratic Governance and Rule of Law: EUR 5,875,000</w:t>
      </w:r>
    </w:p>
    <w:p w:rsidR="009D1813" w:rsidRPr="002D2401" w:rsidRDefault="009D1813" w:rsidP="007C2B43">
      <w:pPr>
        <w:pStyle w:val="NoSpacing"/>
        <w:jc w:val="both"/>
        <w:rPr>
          <w:b/>
        </w:rPr>
      </w:pPr>
      <w:r w:rsidRPr="002D2401">
        <w:rPr>
          <w:b/>
        </w:rPr>
        <w:t>Lot 2:</w:t>
      </w:r>
      <w:r w:rsidRPr="002D2401">
        <w:rPr>
          <w:b/>
        </w:rPr>
        <w:tab/>
        <w:t>Service Delivery</w:t>
      </w:r>
      <w:r w:rsidR="00415AF1">
        <w:rPr>
          <w:b/>
        </w:rPr>
        <w:t xml:space="preserve"> and Community Engagement</w:t>
      </w:r>
      <w:r w:rsidRPr="002D2401">
        <w:rPr>
          <w:b/>
        </w:rPr>
        <w:t>: EUR 3,525,000</w:t>
      </w:r>
    </w:p>
    <w:p w:rsidR="009D1813" w:rsidRPr="002D2401" w:rsidRDefault="009D1813" w:rsidP="007C2B43">
      <w:pPr>
        <w:pStyle w:val="NoSpacing"/>
        <w:jc w:val="both"/>
        <w:rPr>
          <w:b/>
          <w:highlight w:val="cyan"/>
        </w:rPr>
      </w:pPr>
      <w:r w:rsidRPr="002D2401">
        <w:rPr>
          <w:b/>
        </w:rPr>
        <w:t xml:space="preserve">Lot 3: </w:t>
      </w:r>
      <w:r w:rsidRPr="002D2401">
        <w:rPr>
          <w:b/>
        </w:rPr>
        <w:tab/>
        <w:t>Gender equality, women’s and girls’ empowerment and protection: EUR 2,350</w:t>
      </w:r>
      <w:r w:rsidR="000436F6" w:rsidRPr="002D2401">
        <w:rPr>
          <w:b/>
        </w:rPr>
        <w:t>,</w:t>
      </w:r>
      <w:r w:rsidRPr="002D2401">
        <w:rPr>
          <w:b/>
        </w:rPr>
        <w:t>000</w:t>
      </w:r>
    </w:p>
    <w:p w:rsidR="002D2401" w:rsidRDefault="002D2401" w:rsidP="007C2B43">
      <w:pPr>
        <w:pStyle w:val="NoSpacing"/>
        <w:jc w:val="both"/>
        <w:rPr>
          <w:rStyle w:val="Bodytext2Exact"/>
          <w:lang w:val="en-GB"/>
        </w:rPr>
      </w:pPr>
    </w:p>
    <w:p w:rsidR="00415AF1" w:rsidRDefault="00415AF1" w:rsidP="007C2B43">
      <w:pPr>
        <w:pStyle w:val="NoSpacing"/>
        <w:jc w:val="both"/>
        <w:rPr>
          <w:rStyle w:val="Bodytext2Exact"/>
          <w:lang w:val="en-GB"/>
        </w:rPr>
      </w:pPr>
      <w:r>
        <w:rPr>
          <w:rStyle w:val="Bodytext2Exact"/>
        </w:rPr>
        <w:t>(For the sectors / themes covered under each lot, please refer to section 2.1.4).</w:t>
      </w:r>
    </w:p>
    <w:p w:rsidR="00415AF1" w:rsidRDefault="00415AF1" w:rsidP="007C2B43">
      <w:pPr>
        <w:pStyle w:val="NoSpacing"/>
        <w:jc w:val="both"/>
        <w:rPr>
          <w:rStyle w:val="Bodytext2Exact"/>
          <w:lang w:val="en-GB"/>
        </w:rPr>
      </w:pPr>
    </w:p>
    <w:p w:rsidR="000B5BFC" w:rsidRPr="00C32B27" w:rsidRDefault="002B08B2" w:rsidP="007C2B43">
      <w:pPr>
        <w:pStyle w:val="NoSpacing"/>
        <w:jc w:val="both"/>
        <w:rPr>
          <w:b/>
          <w:sz w:val="22"/>
          <w:szCs w:val="22"/>
        </w:rPr>
      </w:pPr>
      <w:r w:rsidRPr="00C32B27">
        <w:rPr>
          <w:rStyle w:val="Bodytext2Exact"/>
        </w:rPr>
        <w:t>If t</w:t>
      </w:r>
      <w:r w:rsidR="00764274" w:rsidRPr="00C32B27">
        <w:rPr>
          <w:sz w:val="22"/>
          <w:szCs w:val="22"/>
        </w:rPr>
        <w:t xml:space="preserve">he allocation indicated for a specific lot cannot be used due to insufficient quality or number of proposals </w:t>
      </w:r>
      <w:r w:rsidR="00244341" w:rsidRPr="00C32B27">
        <w:rPr>
          <w:sz w:val="22"/>
          <w:szCs w:val="22"/>
        </w:rPr>
        <w:t>re</w:t>
      </w:r>
      <w:r w:rsidR="00764274" w:rsidRPr="00C32B27">
        <w:rPr>
          <w:sz w:val="22"/>
          <w:szCs w:val="22"/>
        </w:rPr>
        <w:t>ceived, the contracting authority reserves the right to reallocate the remaining funds to other lots.</w:t>
      </w:r>
    </w:p>
    <w:p w:rsidR="00D14917" w:rsidRDefault="00D14917" w:rsidP="007C2B43">
      <w:pPr>
        <w:pStyle w:val="Bodytext21"/>
        <w:shd w:val="clear" w:color="auto" w:fill="auto"/>
        <w:spacing w:before="0" w:after="172" w:line="240" w:lineRule="auto"/>
        <w:ind w:firstLine="0"/>
        <w:rPr>
          <w:b/>
        </w:rPr>
      </w:pPr>
    </w:p>
    <w:p w:rsidR="000B5BFC" w:rsidRPr="006373B3" w:rsidRDefault="00764274" w:rsidP="007C2B43">
      <w:pPr>
        <w:pStyle w:val="NoSpacing"/>
        <w:jc w:val="both"/>
        <w:rPr>
          <w:b/>
          <w:sz w:val="22"/>
          <w:szCs w:val="22"/>
        </w:rPr>
      </w:pPr>
      <w:r w:rsidRPr="006373B3">
        <w:rPr>
          <w:b/>
          <w:sz w:val="22"/>
          <w:szCs w:val="22"/>
        </w:rPr>
        <w:t>Size of grants</w:t>
      </w:r>
    </w:p>
    <w:p w:rsidR="000B5BFC" w:rsidRDefault="00764274" w:rsidP="007C2B43">
      <w:pPr>
        <w:pStyle w:val="NoSpacing"/>
        <w:jc w:val="both"/>
        <w:rPr>
          <w:sz w:val="22"/>
          <w:szCs w:val="22"/>
        </w:rPr>
      </w:pPr>
      <w:r w:rsidRPr="006373B3">
        <w:rPr>
          <w:sz w:val="22"/>
          <w:szCs w:val="22"/>
        </w:rPr>
        <w:t>Any grant requested under this call for proposals must fall between the following minimum and</w:t>
      </w:r>
      <w:r w:rsidR="00244341" w:rsidRPr="006373B3">
        <w:rPr>
          <w:sz w:val="22"/>
          <w:szCs w:val="22"/>
        </w:rPr>
        <w:t xml:space="preserve"> maximum amounts</w:t>
      </w:r>
      <w:r w:rsidRPr="006373B3">
        <w:rPr>
          <w:sz w:val="22"/>
          <w:szCs w:val="22"/>
        </w:rPr>
        <w:t>:</w:t>
      </w:r>
    </w:p>
    <w:p w:rsidR="00596A93" w:rsidRPr="006373B3" w:rsidRDefault="00596A93" w:rsidP="007C2B43">
      <w:pPr>
        <w:pStyle w:val="NoSpacing"/>
        <w:jc w:val="both"/>
        <w:rPr>
          <w:sz w:val="22"/>
          <w:szCs w:val="22"/>
        </w:rPr>
      </w:pPr>
    </w:p>
    <w:p w:rsidR="00596A93" w:rsidRDefault="00596A93" w:rsidP="007C2B43">
      <w:pPr>
        <w:pStyle w:val="NoSpacing"/>
        <w:jc w:val="both"/>
        <w:rPr>
          <w:sz w:val="22"/>
          <w:szCs w:val="22"/>
        </w:rPr>
      </w:pPr>
      <w:bookmarkStart w:id="12" w:name="_Hlk536094002"/>
    </w:p>
    <w:p w:rsidR="003D40CC" w:rsidRDefault="003D40CC" w:rsidP="007C2B43">
      <w:pPr>
        <w:pStyle w:val="NoSpacing"/>
        <w:jc w:val="both"/>
        <w:rPr>
          <w:sz w:val="22"/>
          <w:szCs w:val="22"/>
        </w:rPr>
      </w:pPr>
    </w:p>
    <w:p w:rsidR="003D40CC" w:rsidRDefault="003D40CC" w:rsidP="007C2B43">
      <w:pPr>
        <w:pStyle w:val="NoSpacing"/>
        <w:jc w:val="both"/>
        <w:rPr>
          <w:sz w:val="22"/>
          <w:szCs w:val="22"/>
        </w:rPr>
      </w:pPr>
    </w:p>
    <w:p w:rsidR="00244341" w:rsidRPr="00596A93" w:rsidRDefault="00244341" w:rsidP="007C2B43">
      <w:pPr>
        <w:pStyle w:val="NoSpacing"/>
        <w:jc w:val="both"/>
        <w:rPr>
          <w:sz w:val="22"/>
          <w:szCs w:val="22"/>
        </w:rPr>
      </w:pPr>
      <w:r w:rsidRPr="00596A93">
        <w:rPr>
          <w:sz w:val="22"/>
          <w:szCs w:val="22"/>
        </w:rPr>
        <w:t xml:space="preserve">In the case of applications </w:t>
      </w:r>
      <w:r w:rsidR="00593129" w:rsidRPr="00596A93">
        <w:rPr>
          <w:sz w:val="22"/>
          <w:szCs w:val="22"/>
        </w:rPr>
        <w:t xml:space="preserve">from </w:t>
      </w:r>
      <w:r w:rsidR="00E4796F" w:rsidRPr="00596A93">
        <w:rPr>
          <w:sz w:val="22"/>
          <w:szCs w:val="22"/>
        </w:rPr>
        <w:t xml:space="preserve">individual </w:t>
      </w:r>
      <w:r w:rsidR="00596A93" w:rsidRPr="00596A93">
        <w:rPr>
          <w:sz w:val="22"/>
          <w:szCs w:val="22"/>
        </w:rPr>
        <w:t>organizations:</w:t>
      </w:r>
    </w:p>
    <w:p w:rsidR="009763AA" w:rsidRPr="006373B3" w:rsidRDefault="009763AA" w:rsidP="007C2B43">
      <w:pPr>
        <w:pStyle w:val="NoSpacing"/>
        <w:jc w:val="both"/>
        <w:rPr>
          <w:sz w:val="22"/>
          <w:szCs w:val="22"/>
        </w:rPr>
      </w:pPr>
    </w:p>
    <w:p w:rsidR="000B5BFC" w:rsidRDefault="00764274" w:rsidP="007C2B43">
      <w:pPr>
        <w:pStyle w:val="NoSpacing"/>
        <w:numPr>
          <w:ilvl w:val="0"/>
          <w:numId w:val="38"/>
        </w:numPr>
        <w:jc w:val="both"/>
        <w:rPr>
          <w:sz w:val="22"/>
          <w:szCs w:val="22"/>
        </w:rPr>
      </w:pPr>
      <w:r w:rsidRPr="006373B3">
        <w:rPr>
          <w:sz w:val="22"/>
          <w:szCs w:val="22"/>
        </w:rPr>
        <w:t xml:space="preserve">minimum amount: EUR </w:t>
      </w:r>
      <w:r w:rsidR="00596A93">
        <w:rPr>
          <w:sz w:val="22"/>
          <w:szCs w:val="22"/>
        </w:rPr>
        <w:t>15</w:t>
      </w:r>
      <w:r w:rsidR="00244341" w:rsidRPr="006373B3">
        <w:rPr>
          <w:sz w:val="22"/>
          <w:szCs w:val="22"/>
        </w:rPr>
        <w:t>0,000</w:t>
      </w:r>
    </w:p>
    <w:p w:rsidR="000B5BFC" w:rsidRDefault="00764274" w:rsidP="007C2B43">
      <w:pPr>
        <w:pStyle w:val="NoSpacing"/>
        <w:numPr>
          <w:ilvl w:val="0"/>
          <w:numId w:val="38"/>
        </w:numPr>
        <w:jc w:val="both"/>
        <w:rPr>
          <w:sz w:val="22"/>
          <w:szCs w:val="22"/>
        </w:rPr>
      </w:pPr>
      <w:r w:rsidRPr="006373B3">
        <w:rPr>
          <w:sz w:val="22"/>
          <w:szCs w:val="22"/>
        </w:rPr>
        <w:t xml:space="preserve">maximum amount: EUR </w:t>
      </w:r>
      <w:r w:rsidR="00244341" w:rsidRPr="006373B3">
        <w:rPr>
          <w:sz w:val="22"/>
          <w:szCs w:val="22"/>
        </w:rPr>
        <w:t>300,000.</w:t>
      </w:r>
    </w:p>
    <w:p w:rsidR="009763AA" w:rsidRPr="006373B3" w:rsidRDefault="009763AA" w:rsidP="007C2B43">
      <w:pPr>
        <w:pStyle w:val="NoSpacing"/>
        <w:ind w:left="360"/>
        <w:jc w:val="both"/>
        <w:rPr>
          <w:sz w:val="22"/>
          <w:szCs w:val="22"/>
        </w:rPr>
      </w:pPr>
    </w:p>
    <w:bookmarkEnd w:id="12"/>
    <w:p w:rsidR="00244341" w:rsidRPr="007C2B43" w:rsidRDefault="00244341" w:rsidP="007C2B43">
      <w:pPr>
        <w:pStyle w:val="NoSpacing"/>
        <w:jc w:val="both"/>
        <w:rPr>
          <w:sz w:val="22"/>
          <w:szCs w:val="22"/>
          <w:lang w:val="en-GB"/>
        </w:rPr>
      </w:pPr>
      <w:r w:rsidRPr="006373B3">
        <w:rPr>
          <w:sz w:val="22"/>
          <w:szCs w:val="22"/>
        </w:rPr>
        <w:t xml:space="preserve">In the case of applications from </w:t>
      </w:r>
      <w:r w:rsidR="00E4796F">
        <w:rPr>
          <w:sz w:val="22"/>
          <w:szCs w:val="22"/>
        </w:rPr>
        <w:t>n</w:t>
      </w:r>
      <w:r w:rsidR="00E4796F" w:rsidRPr="006373B3">
        <w:rPr>
          <w:sz w:val="22"/>
          <w:szCs w:val="22"/>
        </w:rPr>
        <w:t xml:space="preserve">etworks </w:t>
      </w:r>
      <w:r w:rsidRPr="006373B3">
        <w:rPr>
          <w:sz w:val="22"/>
          <w:szCs w:val="22"/>
        </w:rPr>
        <w:t xml:space="preserve">or </w:t>
      </w:r>
      <w:r w:rsidR="00E4796F">
        <w:rPr>
          <w:sz w:val="22"/>
          <w:szCs w:val="22"/>
        </w:rPr>
        <w:t>c</w:t>
      </w:r>
      <w:r w:rsidR="00E4796F" w:rsidRPr="006373B3">
        <w:rPr>
          <w:sz w:val="22"/>
          <w:szCs w:val="22"/>
        </w:rPr>
        <w:t xml:space="preserve">onsortia </w:t>
      </w:r>
      <w:r w:rsidRPr="006373B3">
        <w:rPr>
          <w:sz w:val="22"/>
          <w:szCs w:val="22"/>
        </w:rPr>
        <w:t xml:space="preserve">of </w:t>
      </w:r>
      <w:proofErr w:type="spellStart"/>
      <w:r w:rsidR="00E4796F">
        <w:rPr>
          <w:sz w:val="22"/>
          <w:szCs w:val="22"/>
        </w:rPr>
        <w:t>o</w:t>
      </w:r>
      <w:r w:rsidR="00E4796F" w:rsidRPr="006373B3">
        <w:rPr>
          <w:sz w:val="22"/>
          <w:szCs w:val="22"/>
        </w:rPr>
        <w:t>rganisations</w:t>
      </w:r>
      <w:proofErr w:type="spellEnd"/>
      <w:r w:rsidR="00E4796F" w:rsidRPr="006373B3">
        <w:rPr>
          <w:sz w:val="22"/>
          <w:szCs w:val="22"/>
        </w:rPr>
        <w:t xml:space="preserve"> </w:t>
      </w:r>
      <w:r w:rsidRPr="006373B3">
        <w:rPr>
          <w:sz w:val="22"/>
          <w:szCs w:val="22"/>
        </w:rPr>
        <w:t xml:space="preserve">(with legal personality) or </w:t>
      </w:r>
      <w:r w:rsidR="00593129" w:rsidRPr="006373B3">
        <w:rPr>
          <w:sz w:val="22"/>
          <w:szCs w:val="22"/>
        </w:rPr>
        <w:t xml:space="preserve">a local Individual </w:t>
      </w:r>
      <w:proofErr w:type="spellStart"/>
      <w:r w:rsidR="00593129" w:rsidRPr="006373B3">
        <w:rPr>
          <w:sz w:val="22"/>
          <w:szCs w:val="22"/>
        </w:rPr>
        <w:t>Organisation</w:t>
      </w:r>
      <w:proofErr w:type="spellEnd"/>
      <w:r w:rsidR="00593129" w:rsidRPr="006373B3">
        <w:rPr>
          <w:sz w:val="22"/>
          <w:szCs w:val="22"/>
        </w:rPr>
        <w:t xml:space="preserve"> (as coordinator) in partnership with one </w:t>
      </w:r>
      <w:r w:rsidR="003F544B" w:rsidRPr="006373B3">
        <w:rPr>
          <w:sz w:val="22"/>
          <w:szCs w:val="22"/>
        </w:rPr>
        <w:t xml:space="preserve">or more local or </w:t>
      </w:r>
      <w:r w:rsidR="00593129" w:rsidRPr="006373B3">
        <w:rPr>
          <w:sz w:val="22"/>
          <w:szCs w:val="22"/>
        </w:rPr>
        <w:t>International NGO</w:t>
      </w:r>
      <w:r w:rsidR="0041458F" w:rsidRPr="006373B3">
        <w:rPr>
          <w:sz w:val="22"/>
          <w:szCs w:val="22"/>
        </w:rPr>
        <w:t>s</w:t>
      </w:r>
      <w:r w:rsidR="00596A93">
        <w:rPr>
          <w:sz w:val="22"/>
          <w:szCs w:val="22"/>
        </w:rPr>
        <w:t xml:space="preserve"> (as co-applicants):</w:t>
      </w:r>
    </w:p>
    <w:p w:rsidR="009763AA" w:rsidRDefault="009763AA" w:rsidP="007C2B43">
      <w:pPr>
        <w:pStyle w:val="NoSpacing"/>
        <w:ind w:left="720"/>
        <w:jc w:val="both"/>
        <w:rPr>
          <w:sz w:val="22"/>
          <w:szCs w:val="22"/>
        </w:rPr>
      </w:pPr>
    </w:p>
    <w:p w:rsidR="00244341" w:rsidRPr="00526C7A" w:rsidRDefault="00244341" w:rsidP="007C2B43">
      <w:pPr>
        <w:pStyle w:val="NoSpacing"/>
        <w:numPr>
          <w:ilvl w:val="0"/>
          <w:numId w:val="39"/>
        </w:numPr>
        <w:jc w:val="both"/>
        <w:rPr>
          <w:sz w:val="22"/>
          <w:szCs w:val="22"/>
        </w:rPr>
      </w:pPr>
      <w:r w:rsidRPr="00526C7A">
        <w:rPr>
          <w:sz w:val="22"/>
          <w:szCs w:val="22"/>
        </w:rPr>
        <w:t xml:space="preserve">minimum amount: EUR </w:t>
      </w:r>
      <w:r w:rsidR="00593129" w:rsidRPr="00526C7A">
        <w:rPr>
          <w:sz w:val="22"/>
          <w:szCs w:val="22"/>
        </w:rPr>
        <w:t>3</w:t>
      </w:r>
      <w:r w:rsidR="002D4D27">
        <w:rPr>
          <w:sz w:val="22"/>
          <w:szCs w:val="22"/>
        </w:rPr>
        <w:t>0</w:t>
      </w:r>
      <w:r w:rsidRPr="00526C7A">
        <w:rPr>
          <w:sz w:val="22"/>
          <w:szCs w:val="22"/>
        </w:rPr>
        <w:t>0,000</w:t>
      </w:r>
    </w:p>
    <w:p w:rsidR="00244341" w:rsidRDefault="00244341" w:rsidP="007C2B43">
      <w:pPr>
        <w:pStyle w:val="NoSpacing"/>
        <w:numPr>
          <w:ilvl w:val="0"/>
          <w:numId w:val="39"/>
        </w:numPr>
        <w:jc w:val="both"/>
        <w:rPr>
          <w:sz w:val="22"/>
          <w:szCs w:val="22"/>
        </w:rPr>
      </w:pPr>
      <w:r w:rsidRPr="00526C7A">
        <w:rPr>
          <w:sz w:val="22"/>
          <w:szCs w:val="22"/>
        </w:rPr>
        <w:t xml:space="preserve">maximum amount: EUR </w:t>
      </w:r>
      <w:r w:rsidR="00593129" w:rsidRPr="00526C7A">
        <w:rPr>
          <w:sz w:val="22"/>
          <w:szCs w:val="22"/>
        </w:rPr>
        <w:t>5</w:t>
      </w:r>
      <w:r w:rsidRPr="00526C7A">
        <w:rPr>
          <w:sz w:val="22"/>
          <w:szCs w:val="22"/>
        </w:rPr>
        <w:t>00,000.</w:t>
      </w:r>
    </w:p>
    <w:p w:rsidR="009763AA" w:rsidRPr="00526C7A" w:rsidRDefault="009763AA" w:rsidP="007C2B43">
      <w:pPr>
        <w:pStyle w:val="NoSpacing"/>
        <w:ind w:left="720"/>
        <w:jc w:val="both"/>
        <w:rPr>
          <w:sz w:val="22"/>
          <w:szCs w:val="22"/>
        </w:rPr>
      </w:pPr>
    </w:p>
    <w:p w:rsidR="000B5BFC" w:rsidRDefault="00764274" w:rsidP="007C2B43">
      <w:pPr>
        <w:pStyle w:val="NoSpacing"/>
        <w:jc w:val="both"/>
        <w:rPr>
          <w:sz w:val="22"/>
          <w:szCs w:val="22"/>
        </w:rPr>
      </w:pPr>
      <w:r w:rsidRPr="00526C7A">
        <w:rPr>
          <w:sz w:val="22"/>
          <w:szCs w:val="22"/>
        </w:rPr>
        <w:t>Any grant requested under this call for proposals must fall between the following minimum and</w:t>
      </w:r>
      <w:r w:rsidR="006665A8" w:rsidRPr="00526C7A">
        <w:rPr>
          <w:sz w:val="22"/>
          <w:szCs w:val="22"/>
        </w:rPr>
        <w:t xml:space="preserve"> maximum</w:t>
      </w:r>
      <w:r w:rsidRPr="00526C7A">
        <w:rPr>
          <w:sz w:val="22"/>
          <w:szCs w:val="22"/>
        </w:rPr>
        <w:t xml:space="preserve"> percentages of total eligible costs of the action:</w:t>
      </w:r>
    </w:p>
    <w:p w:rsidR="009763AA" w:rsidRPr="00526C7A" w:rsidRDefault="009763AA" w:rsidP="007C2B43">
      <w:pPr>
        <w:pStyle w:val="NoSpacing"/>
        <w:jc w:val="both"/>
        <w:rPr>
          <w:sz w:val="22"/>
          <w:szCs w:val="22"/>
        </w:rPr>
      </w:pPr>
    </w:p>
    <w:p w:rsidR="000B5BFC" w:rsidRPr="006C6859" w:rsidRDefault="00764274" w:rsidP="007C2B43">
      <w:pPr>
        <w:pStyle w:val="NoSpacing"/>
        <w:numPr>
          <w:ilvl w:val="0"/>
          <w:numId w:val="40"/>
        </w:numPr>
        <w:jc w:val="both"/>
        <w:rPr>
          <w:sz w:val="22"/>
          <w:szCs w:val="22"/>
        </w:rPr>
      </w:pPr>
      <w:r w:rsidRPr="006C6859">
        <w:rPr>
          <w:sz w:val="22"/>
          <w:szCs w:val="22"/>
        </w:rPr>
        <w:t xml:space="preserve">Minimum percentage: </w:t>
      </w:r>
      <w:r w:rsidR="00593129" w:rsidRPr="006C6859">
        <w:rPr>
          <w:sz w:val="22"/>
          <w:szCs w:val="22"/>
        </w:rPr>
        <w:t>50</w:t>
      </w:r>
      <w:r w:rsidRPr="006C6859">
        <w:rPr>
          <w:sz w:val="22"/>
          <w:szCs w:val="22"/>
        </w:rPr>
        <w:t>% of the total eligible costs of the action.</w:t>
      </w:r>
    </w:p>
    <w:p w:rsidR="00165191" w:rsidRDefault="00165191" w:rsidP="007C2B43">
      <w:pPr>
        <w:pStyle w:val="NoSpacing"/>
        <w:numPr>
          <w:ilvl w:val="0"/>
          <w:numId w:val="40"/>
        </w:numPr>
        <w:jc w:val="both"/>
        <w:rPr>
          <w:sz w:val="22"/>
          <w:szCs w:val="22"/>
        </w:rPr>
      </w:pPr>
      <w:r w:rsidRPr="006C6859">
        <w:rPr>
          <w:sz w:val="22"/>
          <w:szCs w:val="22"/>
        </w:rPr>
        <w:t>Maximum percentage: 95% of the total eligible costs of the action (see also Section 2.1.5).</w:t>
      </w:r>
    </w:p>
    <w:p w:rsidR="009763AA" w:rsidRPr="006C6859" w:rsidRDefault="009763AA" w:rsidP="007C2B43">
      <w:pPr>
        <w:pStyle w:val="NoSpacing"/>
        <w:ind w:left="720"/>
        <w:jc w:val="both"/>
        <w:rPr>
          <w:sz w:val="22"/>
          <w:szCs w:val="22"/>
        </w:rPr>
      </w:pPr>
    </w:p>
    <w:p w:rsidR="000B5BFC" w:rsidRPr="006C6859" w:rsidRDefault="00764274" w:rsidP="007C2B43">
      <w:pPr>
        <w:pStyle w:val="NoSpacing"/>
        <w:jc w:val="both"/>
        <w:rPr>
          <w:sz w:val="22"/>
          <w:szCs w:val="22"/>
        </w:rPr>
      </w:pPr>
      <w:r w:rsidRPr="006C6859">
        <w:rPr>
          <w:sz w:val="22"/>
          <w:szCs w:val="22"/>
        </w:rPr>
        <w:t>The balance (i.e. the difference between the total cost of the action and the amount requested from the contracting authority) must be financed from sources other than the general budget of the Union or the European Development Fund</w:t>
      </w:r>
      <w:r w:rsidRPr="006C6859">
        <w:rPr>
          <w:sz w:val="22"/>
          <w:szCs w:val="22"/>
          <w:vertAlign w:val="superscript"/>
        </w:rPr>
        <w:footnoteReference w:id="6"/>
      </w:r>
      <w:r w:rsidRPr="006C6859">
        <w:rPr>
          <w:sz w:val="22"/>
          <w:szCs w:val="22"/>
        </w:rPr>
        <w:t>.</w:t>
      </w:r>
    </w:p>
    <w:p w:rsidR="006C6859" w:rsidRDefault="006C6859" w:rsidP="007C2B43">
      <w:pPr>
        <w:pStyle w:val="Bodytext21"/>
        <w:shd w:val="clear" w:color="auto" w:fill="auto"/>
        <w:spacing w:before="0" w:after="0" w:line="240" w:lineRule="auto"/>
        <w:ind w:firstLine="0"/>
      </w:pPr>
    </w:p>
    <w:p w:rsidR="001366C5" w:rsidRPr="006C6859" w:rsidRDefault="004201F2" w:rsidP="007C2B43">
      <w:pPr>
        <w:pStyle w:val="NoSpacing"/>
        <w:jc w:val="both"/>
        <w:rPr>
          <w:sz w:val="22"/>
          <w:szCs w:val="22"/>
        </w:rPr>
      </w:pPr>
      <w:r w:rsidRPr="006C6859">
        <w:rPr>
          <w:sz w:val="22"/>
          <w:szCs w:val="22"/>
        </w:rPr>
        <w:t>T</w:t>
      </w:r>
      <w:r w:rsidR="00764274" w:rsidRPr="006C6859">
        <w:rPr>
          <w:sz w:val="22"/>
          <w:szCs w:val="22"/>
        </w:rPr>
        <w:t>he grant may cover the entire eligible costs of the action if this is deemed essential to carry it out. If that is the case, the lead applicant must justify full financing in Section 2.1 of Part B of the grant application form. The validity of the justification provided will be examined during the evaluation procedure. The absence of any justification may lead to the rejection of the application.</w:t>
      </w:r>
    </w:p>
    <w:p w:rsidR="001366C5" w:rsidRDefault="001366C5" w:rsidP="009763AA">
      <w:pPr>
        <w:rPr>
          <w:sz w:val="22"/>
          <w:szCs w:val="22"/>
        </w:rPr>
      </w:pPr>
      <w:r>
        <w:br w:type="page"/>
      </w:r>
    </w:p>
    <w:p w:rsidR="000B5BFC" w:rsidRPr="00374BAE" w:rsidRDefault="00764274" w:rsidP="009763AA">
      <w:pPr>
        <w:pStyle w:val="Heading1"/>
        <w:numPr>
          <w:ilvl w:val="0"/>
          <w:numId w:val="44"/>
        </w:numPr>
        <w:jc w:val="both"/>
        <w:rPr>
          <w:rFonts w:ascii="Times New Roman" w:hAnsi="Times New Roman" w:cs="Times New Roman"/>
          <w:color w:val="auto"/>
          <w:sz w:val="24"/>
          <w:szCs w:val="24"/>
        </w:rPr>
      </w:pPr>
      <w:bookmarkStart w:id="13" w:name="bookmark12"/>
      <w:bookmarkStart w:id="14" w:name="_Toc5010048"/>
      <w:r w:rsidRPr="00374BAE">
        <w:rPr>
          <w:rFonts w:ascii="Times New Roman" w:hAnsi="Times New Roman" w:cs="Times New Roman"/>
          <w:color w:val="auto"/>
          <w:sz w:val="24"/>
          <w:szCs w:val="24"/>
        </w:rPr>
        <w:lastRenderedPageBreak/>
        <w:t>RULES FOR THIS CALL FOR PROPOSALS</w:t>
      </w:r>
      <w:bookmarkEnd w:id="13"/>
      <w:bookmarkEnd w:id="14"/>
    </w:p>
    <w:p w:rsidR="00374BAE" w:rsidRDefault="00374BAE" w:rsidP="009763AA">
      <w:pPr>
        <w:pStyle w:val="NoSpacing"/>
        <w:jc w:val="both"/>
      </w:pPr>
      <w:bookmarkStart w:id="15" w:name="bookmark13"/>
    </w:p>
    <w:p w:rsidR="000B5BFC" w:rsidRPr="00E55DDE" w:rsidRDefault="00764274" w:rsidP="007C2B43">
      <w:pPr>
        <w:pStyle w:val="NoSpacing"/>
        <w:jc w:val="both"/>
      </w:pPr>
      <w:r w:rsidRPr="00E55DDE">
        <w:t>These guidelines set out the rules for the submission, selection and implementation of the actions financed under this call, in conformity with the practical guide, which is applicable to the present call (available on the internet at this address</w:t>
      </w:r>
      <w:hyperlink r:id="rId11" w:history="1">
        <w:r w:rsidRPr="00E55DDE">
          <w:rPr>
            <w:rStyle w:val="Bodytext27"/>
            <w:color w:val="000000"/>
            <w:sz w:val="24"/>
            <w:u w:val="none"/>
          </w:rPr>
          <w:t>http://ec.europa.eu/europeaid/prag/document.do?locale=en</w:t>
        </w:r>
        <w:r w:rsidRPr="00E55DDE">
          <w:rPr>
            <w:rStyle w:val="Bodytext26"/>
            <w:sz w:val="24"/>
            <w:u w:val="none"/>
          </w:rPr>
          <w:t>)</w:t>
        </w:r>
      </w:hyperlink>
      <w:r w:rsidRPr="00E55DDE">
        <w:t>.</w:t>
      </w:r>
      <w:bookmarkEnd w:id="15"/>
      <w:r w:rsidR="004043A8" w:rsidRPr="00813B6F">
        <w:rPr>
          <w:rStyle w:val="FootnoteReference"/>
          <w:szCs w:val="22"/>
        </w:rPr>
        <w:footnoteReference w:id="7"/>
      </w:r>
    </w:p>
    <w:p w:rsidR="006C6859" w:rsidRPr="006C6859" w:rsidRDefault="006C6859" w:rsidP="009763AA">
      <w:pPr>
        <w:pStyle w:val="NoSpacing"/>
        <w:jc w:val="both"/>
        <w:rPr>
          <w:sz w:val="22"/>
          <w:szCs w:val="22"/>
        </w:rPr>
      </w:pPr>
    </w:p>
    <w:p w:rsidR="000B5BFC" w:rsidRPr="00374BAE" w:rsidRDefault="00374BAE" w:rsidP="009763AA">
      <w:pPr>
        <w:pStyle w:val="Heading2"/>
        <w:jc w:val="both"/>
        <w:rPr>
          <w:rFonts w:ascii="Times New Roman" w:hAnsi="Times New Roman" w:cs="Times New Roman"/>
          <w:color w:val="auto"/>
        </w:rPr>
      </w:pPr>
      <w:bookmarkStart w:id="16" w:name="_Toc5010049"/>
      <w:r>
        <w:rPr>
          <w:rStyle w:val="Bodytext711pt"/>
          <w:rFonts w:ascii="Times New Roman" w:hAnsi="Times New Roman" w:cs="Times New Roman"/>
          <w:b/>
          <w:color w:val="auto"/>
          <w:sz w:val="24"/>
          <w:szCs w:val="24"/>
        </w:rPr>
        <w:t xml:space="preserve">2.1 </w:t>
      </w:r>
      <w:r w:rsidR="00764274" w:rsidRPr="00374BAE">
        <w:rPr>
          <w:rStyle w:val="Bodytext711pt"/>
          <w:rFonts w:ascii="Times New Roman" w:hAnsi="Times New Roman" w:cs="Times New Roman"/>
          <w:b/>
          <w:color w:val="auto"/>
          <w:sz w:val="24"/>
          <w:szCs w:val="24"/>
        </w:rPr>
        <w:t>E</w:t>
      </w:r>
      <w:r w:rsidR="00764274" w:rsidRPr="00374BAE">
        <w:rPr>
          <w:rStyle w:val="Bodytext7SmallCaps"/>
          <w:rFonts w:ascii="Times New Roman" w:hAnsi="Times New Roman" w:cs="Times New Roman"/>
          <w:b/>
          <w:color w:val="auto"/>
          <w:sz w:val="24"/>
          <w:szCs w:val="24"/>
        </w:rPr>
        <w:t>ligibility criteria</w:t>
      </w:r>
      <w:bookmarkEnd w:id="16"/>
    </w:p>
    <w:p w:rsidR="00374BAE" w:rsidRDefault="00374BAE" w:rsidP="00480E34">
      <w:pPr>
        <w:pStyle w:val="NoSpacing"/>
        <w:jc w:val="both"/>
      </w:pPr>
    </w:p>
    <w:p w:rsidR="000B5BFC" w:rsidRDefault="00764274" w:rsidP="007C2B43">
      <w:pPr>
        <w:pStyle w:val="NoSpacing"/>
        <w:jc w:val="both"/>
      </w:pPr>
      <w:r>
        <w:t>There are three sets of eligibility criteria, relating to:</w:t>
      </w:r>
    </w:p>
    <w:p w:rsidR="000B5BFC" w:rsidRDefault="00764274" w:rsidP="007C2B43">
      <w:pPr>
        <w:pStyle w:val="Bodytext21"/>
        <w:numPr>
          <w:ilvl w:val="0"/>
          <w:numId w:val="5"/>
        </w:numPr>
        <w:shd w:val="clear" w:color="auto" w:fill="auto"/>
        <w:tabs>
          <w:tab w:val="left" w:pos="874"/>
        </w:tabs>
        <w:spacing w:before="0" w:after="0" w:line="240" w:lineRule="auto"/>
        <w:ind w:left="440" w:firstLine="0"/>
      </w:pPr>
      <w:r>
        <w:t>the actors:</w:t>
      </w:r>
    </w:p>
    <w:p w:rsidR="000B5BFC" w:rsidRDefault="00764274" w:rsidP="007C2B43">
      <w:pPr>
        <w:pStyle w:val="Bodytext21"/>
        <w:numPr>
          <w:ilvl w:val="0"/>
          <w:numId w:val="3"/>
        </w:numPr>
        <w:shd w:val="clear" w:color="auto" w:fill="auto"/>
        <w:tabs>
          <w:tab w:val="left" w:pos="1192"/>
        </w:tabs>
        <w:spacing w:before="0" w:after="0" w:line="240" w:lineRule="auto"/>
        <w:ind w:left="1180" w:hanging="380"/>
      </w:pPr>
      <w:r>
        <w:t>The ‘</w:t>
      </w:r>
      <w:r>
        <w:rPr>
          <w:rStyle w:val="Bodytext2Bold2"/>
        </w:rPr>
        <w:t>lead applicant’</w:t>
      </w:r>
      <w:r>
        <w:t>, i.e. the entity submitting the application form (2.1.1),</w:t>
      </w:r>
    </w:p>
    <w:p w:rsidR="000B5BFC" w:rsidRDefault="00764274" w:rsidP="007C2B43">
      <w:pPr>
        <w:pStyle w:val="Bodytext51"/>
        <w:numPr>
          <w:ilvl w:val="0"/>
          <w:numId w:val="3"/>
        </w:numPr>
        <w:shd w:val="clear" w:color="auto" w:fill="auto"/>
        <w:tabs>
          <w:tab w:val="left" w:pos="1192"/>
        </w:tabs>
        <w:spacing w:before="0" w:after="39" w:line="240" w:lineRule="auto"/>
        <w:ind w:left="1180"/>
      </w:pPr>
      <w:r>
        <w:rPr>
          <w:rStyle w:val="Bodytext5NotBold"/>
        </w:rPr>
        <w:t xml:space="preserve">if any, its </w:t>
      </w:r>
      <w:r>
        <w:t xml:space="preserve">co-applicant(s) </w:t>
      </w:r>
      <w:r>
        <w:rPr>
          <w:rStyle w:val="Bodytext5NotBold1"/>
        </w:rPr>
        <w:t>(</w:t>
      </w:r>
      <w:r>
        <w:rPr>
          <w:rStyle w:val="Bodytext50"/>
          <w:b/>
          <w:bCs/>
        </w:rPr>
        <w:t xml:space="preserve">where it is not specified otherwise the lead applicant and its co- applicant(s) are hereinafter jointly referred </w:t>
      </w:r>
      <w:r w:rsidR="006D7475">
        <w:rPr>
          <w:rStyle w:val="Bodytext50"/>
          <w:b/>
          <w:bCs/>
        </w:rPr>
        <w:t xml:space="preserve">to </w:t>
      </w:r>
      <w:r>
        <w:rPr>
          <w:rStyle w:val="Bodytext50"/>
          <w:b/>
          <w:bCs/>
        </w:rPr>
        <w:t>as ‘applicant(s)’</w:t>
      </w:r>
      <w:r>
        <w:rPr>
          <w:rStyle w:val="Bodytext5NotBold1"/>
        </w:rPr>
        <w:t>)</w:t>
      </w:r>
      <w:r>
        <w:rPr>
          <w:rStyle w:val="Bodytext5NotBold"/>
        </w:rPr>
        <w:t xml:space="preserve"> (2.1.1),</w:t>
      </w:r>
    </w:p>
    <w:p w:rsidR="000B5BFC" w:rsidRDefault="00764274" w:rsidP="007C2B43">
      <w:pPr>
        <w:pStyle w:val="Bodytext21"/>
        <w:numPr>
          <w:ilvl w:val="0"/>
          <w:numId w:val="3"/>
        </w:numPr>
        <w:shd w:val="clear" w:color="auto" w:fill="auto"/>
        <w:tabs>
          <w:tab w:val="left" w:pos="1192"/>
        </w:tabs>
        <w:spacing w:before="0" w:after="0" w:line="240" w:lineRule="auto"/>
        <w:ind w:left="1180" w:hanging="380"/>
      </w:pPr>
      <w:r>
        <w:t xml:space="preserve">and, if any, </w:t>
      </w:r>
      <w:r>
        <w:rPr>
          <w:rStyle w:val="Bodytext2Bold2"/>
        </w:rPr>
        <w:t>affiliated entity(</w:t>
      </w:r>
      <w:proofErr w:type="spellStart"/>
      <w:r>
        <w:rPr>
          <w:rStyle w:val="Bodytext2Bold2"/>
        </w:rPr>
        <w:t>ies</w:t>
      </w:r>
      <w:proofErr w:type="spellEnd"/>
      <w:r>
        <w:rPr>
          <w:rStyle w:val="Bodytext2Bold2"/>
        </w:rPr>
        <w:t xml:space="preserve">) </w:t>
      </w:r>
      <w:r>
        <w:t>to the lead applicant and/or to a co-applicant(s) (2.1.2);</w:t>
      </w:r>
    </w:p>
    <w:p w:rsidR="000B5BFC" w:rsidRDefault="00764274" w:rsidP="007C2B43">
      <w:pPr>
        <w:pStyle w:val="Bodytext21"/>
        <w:numPr>
          <w:ilvl w:val="0"/>
          <w:numId w:val="5"/>
        </w:numPr>
        <w:shd w:val="clear" w:color="auto" w:fill="auto"/>
        <w:tabs>
          <w:tab w:val="left" w:pos="874"/>
        </w:tabs>
        <w:spacing w:before="0" w:after="0" w:line="240" w:lineRule="auto"/>
        <w:ind w:left="440" w:firstLine="0"/>
      </w:pPr>
      <w:r>
        <w:t xml:space="preserve">the </w:t>
      </w:r>
      <w:r>
        <w:rPr>
          <w:lang w:val="da-DK" w:eastAsia="da-DK" w:bidi="da-DK"/>
        </w:rPr>
        <w:t>actions:</w:t>
      </w:r>
    </w:p>
    <w:p w:rsidR="000B5BFC" w:rsidRDefault="00764274" w:rsidP="007C2B43">
      <w:pPr>
        <w:pStyle w:val="Bodytext21"/>
        <w:shd w:val="clear" w:color="auto" w:fill="auto"/>
        <w:spacing w:before="0" w:after="0" w:line="240" w:lineRule="auto"/>
        <w:ind w:left="1180" w:hanging="380"/>
      </w:pPr>
      <w:r>
        <w:t>Actions for which a grant may be awarded (2.1.4);</w:t>
      </w:r>
    </w:p>
    <w:p w:rsidR="000B5BFC" w:rsidRDefault="00764274" w:rsidP="007C2B43">
      <w:pPr>
        <w:pStyle w:val="Bodytext21"/>
        <w:numPr>
          <w:ilvl w:val="0"/>
          <w:numId w:val="5"/>
        </w:numPr>
        <w:shd w:val="clear" w:color="auto" w:fill="auto"/>
        <w:tabs>
          <w:tab w:val="left" w:pos="874"/>
        </w:tabs>
        <w:spacing w:before="0" w:after="0" w:line="240" w:lineRule="auto"/>
        <w:ind w:left="440" w:firstLine="0"/>
      </w:pPr>
      <w:r>
        <w:t>the costs:</w:t>
      </w:r>
    </w:p>
    <w:p w:rsidR="000B5BFC" w:rsidRDefault="00764274" w:rsidP="007C2B43">
      <w:pPr>
        <w:pStyle w:val="Bodytext21"/>
        <w:numPr>
          <w:ilvl w:val="0"/>
          <w:numId w:val="3"/>
        </w:numPr>
        <w:shd w:val="clear" w:color="auto" w:fill="auto"/>
        <w:tabs>
          <w:tab w:val="left" w:pos="1192"/>
        </w:tabs>
        <w:spacing w:before="0" w:after="0" w:line="240" w:lineRule="auto"/>
        <w:ind w:left="1180" w:hanging="380"/>
      </w:pPr>
      <w:r>
        <w:t>types of cost that may be taken into account in setting the amount of the grant (2.1.5).</w:t>
      </w:r>
    </w:p>
    <w:p w:rsidR="00B04CAB" w:rsidRDefault="00B04CAB" w:rsidP="007C2B43">
      <w:pPr>
        <w:pStyle w:val="Bodytext21"/>
        <w:shd w:val="clear" w:color="auto" w:fill="auto"/>
        <w:tabs>
          <w:tab w:val="left" w:pos="1192"/>
        </w:tabs>
        <w:spacing w:before="0" w:after="0" w:line="240" w:lineRule="auto"/>
        <w:ind w:left="800" w:firstLine="0"/>
      </w:pPr>
    </w:p>
    <w:p w:rsidR="000B5BFC" w:rsidRPr="00B310D1" w:rsidRDefault="00B310D1" w:rsidP="009763AA">
      <w:pPr>
        <w:pStyle w:val="Heading3"/>
        <w:pBdr>
          <w:top w:val="single" w:sz="4" w:space="1" w:color="auto"/>
          <w:left w:val="single" w:sz="4" w:space="4" w:color="auto"/>
          <w:bottom w:val="single" w:sz="4" w:space="1" w:color="auto"/>
          <w:right w:val="single" w:sz="4" w:space="4" w:color="auto"/>
        </w:pBdr>
        <w:spacing w:before="0"/>
        <w:rPr>
          <w:rFonts w:ascii="Times New Roman" w:hAnsi="Times New Roman" w:cs="Times New Roman"/>
          <w:i/>
          <w:color w:val="auto"/>
        </w:rPr>
      </w:pPr>
      <w:bookmarkStart w:id="17" w:name="bookmark14"/>
      <w:bookmarkStart w:id="18" w:name="_Toc5010050"/>
      <w:r>
        <w:rPr>
          <w:rFonts w:ascii="Times New Roman" w:hAnsi="Times New Roman" w:cs="Times New Roman"/>
          <w:i/>
          <w:color w:val="auto"/>
        </w:rPr>
        <w:t xml:space="preserve">2.1.1 </w:t>
      </w:r>
      <w:r w:rsidR="00764274" w:rsidRPr="00B310D1">
        <w:rPr>
          <w:rFonts w:ascii="Times New Roman" w:hAnsi="Times New Roman" w:cs="Times New Roman"/>
          <w:i/>
          <w:color w:val="auto"/>
        </w:rPr>
        <w:t>Eligibility of applicants (i.e. lead applicant and co-applicant(s))</w:t>
      </w:r>
      <w:bookmarkEnd w:id="17"/>
      <w:bookmarkEnd w:id="18"/>
    </w:p>
    <w:p w:rsidR="004516E4" w:rsidRDefault="004516E4" w:rsidP="007C2B43">
      <w:pPr>
        <w:pStyle w:val="Bodytext51"/>
        <w:shd w:val="clear" w:color="auto" w:fill="auto"/>
        <w:spacing w:before="0" w:after="0" w:line="240" w:lineRule="auto"/>
        <w:ind w:firstLine="0"/>
      </w:pPr>
    </w:p>
    <w:p w:rsidR="00AC52F6" w:rsidRDefault="00764274" w:rsidP="007C2B43">
      <w:pPr>
        <w:pStyle w:val="Bodytext51"/>
        <w:shd w:val="clear" w:color="auto" w:fill="auto"/>
        <w:spacing w:before="0" w:after="0" w:line="240" w:lineRule="auto"/>
        <w:ind w:firstLine="0"/>
      </w:pPr>
      <w:r>
        <w:t>Lead applicant</w:t>
      </w:r>
    </w:p>
    <w:p w:rsidR="000B5BFC" w:rsidRDefault="00AC52F6" w:rsidP="007C2B43">
      <w:pPr>
        <w:pStyle w:val="Bodytext51"/>
        <w:shd w:val="clear" w:color="auto" w:fill="auto"/>
        <w:spacing w:before="0" w:after="0" w:line="240" w:lineRule="auto"/>
        <w:ind w:firstLine="0"/>
        <w:rPr>
          <w:b w:val="0"/>
        </w:rPr>
      </w:pPr>
      <w:r w:rsidRPr="00AC52F6">
        <w:rPr>
          <w:b w:val="0"/>
        </w:rPr>
        <w:t xml:space="preserve">(1) </w:t>
      </w:r>
      <w:r w:rsidR="00764274" w:rsidRPr="00AC52F6">
        <w:rPr>
          <w:b w:val="0"/>
        </w:rPr>
        <w:t xml:space="preserve">In order to be eligible </w:t>
      </w:r>
      <w:r w:rsidR="00764274" w:rsidRPr="00FB3718">
        <w:rPr>
          <w:b w:val="0"/>
          <w:lang w:eastAsia="da-DK" w:bidi="da-DK"/>
        </w:rPr>
        <w:t xml:space="preserve">for </w:t>
      </w:r>
      <w:r w:rsidR="00764274" w:rsidRPr="00AC52F6">
        <w:rPr>
          <w:b w:val="0"/>
        </w:rPr>
        <w:t>a grant, the lead applicant must:</w:t>
      </w:r>
    </w:p>
    <w:p w:rsidR="009763AA" w:rsidRPr="00AC52F6" w:rsidRDefault="009763AA" w:rsidP="007C2B43">
      <w:pPr>
        <w:pStyle w:val="Bodytext51"/>
        <w:shd w:val="clear" w:color="auto" w:fill="auto"/>
        <w:spacing w:before="0" w:after="0" w:line="240" w:lineRule="auto"/>
        <w:ind w:firstLine="0"/>
        <w:rPr>
          <w:b w:val="0"/>
        </w:rPr>
      </w:pPr>
    </w:p>
    <w:p w:rsidR="002C4F98" w:rsidRPr="003E029C" w:rsidRDefault="002C4F98" w:rsidP="007C2B43">
      <w:pPr>
        <w:pStyle w:val="Bodytext21"/>
        <w:numPr>
          <w:ilvl w:val="0"/>
          <w:numId w:val="17"/>
        </w:numPr>
        <w:shd w:val="clear" w:color="auto" w:fill="auto"/>
        <w:tabs>
          <w:tab w:val="left" w:pos="517"/>
        </w:tabs>
        <w:spacing w:before="0" w:after="0" w:line="240" w:lineRule="auto"/>
        <w:ind w:left="1224"/>
      </w:pPr>
      <w:r w:rsidRPr="00E3233E">
        <w:t>be a legal person</w:t>
      </w:r>
      <w:r w:rsidR="00E3233E">
        <w:t xml:space="preserve">, </w:t>
      </w:r>
      <w:r w:rsidR="00E3233E" w:rsidRPr="00E3233E">
        <w:rPr>
          <w:b/>
        </w:rPr>
        <w:t>and</w:t>
      </w:r>
    </w:p>
    <w:p w:rsidR="002C4F98" w:rsidRDefault="002C4F98" w:rsidP="007C2B43">
      <w:pPr>
        <w:pStyle w:val="ListParagraph"/>
        <w:numPr>
          <w:ilvl w:val="0"/>
          <w:numId w:val="17"/>
        </w:numPr>
        <w:ind w:left="1224"/>
        <w:jc w:val="both"/>
        <w:rPr>
          <w:sz w:val="22"/>
          <w:szCs w:val="22"/>
        </w:rPr>
      </w:pPr>
      <w:r w:rsidRPr="00E3233E">
        <w:rPr>
          <w:sz w:val="22"/>
          <w:szCs w:val="22"/>
        </w:rPr>
        <w:t>be non-profit-making</w:t>
      </w:r>
      <w:r w:rsidR="00E3233E">
        <w:rPr>
          <w:sz w:val="22"/>
          <w:szCs w:val="22"/>
        </w:rPr>
        <w:t>,</w:t>
      </w:r>
      <w:r w:rsidR="0055525C">
        <w:rPr>
          <w:sz w:val="22"/>
          <w:szCs w:val="22"/>
        </w:rPr>
        <w:t xml:space="preserve"> </w:t>
      </w:r>
      <w:r w:rsidRPr="00E3233E">
        <w:rPr>
          <w:b/>
          <w:sz w:val="22"/>
          <w:szCs w:val="22"/>
        </w:rPr>
        <w:t>and</w:t>
      </w:r>
      <w:r w:rsidRPr="00E3233E">
        <w:rPr>
          <w:sz w:val="22"/>
          <w:szCs w:val="22"/>
        </w:rPr>
        <w:tab/>
      </w:r>
    </w:p>
    <w:p w:rsidR="00E3233E" w:rsidRPr="004702D5" w:rsidRDefault="00303223" w:rsidP="007C2B43">
      <w:pPr>
        <w:pStyle w:val="ListParagraph"/>
        <w:numPr>
          <w:ilvl w:val="0"/>
          <w:numId w:val="17"/>
        </w:numPr>
        <w:jc w:val="both"/>
        <w:rPr>
          <w:sz w:val="22"/>
          <w:szCs w:val="22"/>
        </w:rPr>
      </w:pPr>
      <w:r w:rsidRPr="004702D5">
        <w:rPr>
          <w:sz w:val="22"/>
          <w:szCs w:val="22"/>
        </w:rPr>
        <w:t xml:space="preserve">be </w:t>
      </w:r>
      <w:r w:rsidR="00FB3718">
        <w:rPr>
          <w:sz w:val="22"/>
          <w:szCs w:val="22"/>
        </w:rPr>
        <w:t xml:space="preserve">a </w:t>
      </w:r>
      <w:r w:rsidR="00596A93">
        <w:rPr>
          <w:sz w:val="22"/>
          <w:szCs w:val="22"/>
        </w:rPr>
        <w:t xml:space="preserve">local </w:t>
      </w:r>
      <w:r w:rsidR="00E4796F">
        <w:rPr>
          <w:sz w:val="22"/>
          <w:szCs w:val="22"/>
        </w:rPr>
        <w:t>c</w:t>
      </w:r>
      <w:r w:rsidR="004F0AAB" w:rsidRPr="004702D5">
        <w:rPr>
          <w:sz w:val="22"/>
          <w:szCs w:val="22"/>
        </w:rPr>
        <w:t xml:space="preserve">ivil </w:t>
      </w:r>
      <w:r w:rsidR="00E4796F">
        <w:rPr>
          <w:sz w:val="22"/>
          <w:szCs w:val="22"/>
        </w:rPr>
        <w:t>s</w:t>
      </w:r>
      <w:r w:rsidR="00E4796F" w:rsidRPr="004702D5">
        <w:rPr>
          <w:sz w:val="22"/>
          <w:szCs w:val="22"/>
        </w:rPr>
        <w:t xml:space="preserve">ociety </w:t>
      </w:r>
      <w:r w:rsidR="00E4796F">
        <w:rPr>
          <w:sz w:val="22"/>
          <w:szCs w:val="22"/>
        </w:rPr>
        <w:t>o</w:t>
      </w:r>
      <w:r w:rsidR="00E4796F" w:rsidRPr="004702D5">
        <w:rPr>
          <w:sz w:val="22"/>
          <w:szCs w:val="22"/>
        </w:rPr>
        <w:t xml:space="preserve">rganisation </w:t>
      </w:r>
      <w:r w:rsidRPr="004702D5">
        <w:rPr>
          <w:sz w:val="22"/>
          <w:szCs w:val="22"/>
        </w:rPr>
        <w:t>formed under the laws of Ethiopia</w:t>
      </w:r>
      <w:r w:rsidR="004702D5">
        <w:rPr>
          <w:sz w:val="22"/>
          <w:szCs w:val="22"/>
        </w:rPr>
        <w:t>.</w:t>
      </w:r>
      <w:r w:rsidR="00733BBA" w:rsidRPr="004702D5">
        <w:rPr>
          <w:sz w:val="22"/>
          <w:szCs w:val="22"/>
        </w:rPr>
        <w:t xml:space="preserve"> Such entities include </w:t>
      </w:r>
      <w:r w:rsidR="00764274" w:rsidRPr="004702D5">
        <w:rPr>
          <w:sz w:val="22"/>
          <w:szCs w:val="22"/>
        </w:rPr>
        <w:t xml:space="preserve">non-governmental </w:t>
      </w:r>
      <w:r w:rsidR="00272B6C" w:rsidRPr="00332613">
        <w:rPr>
          <w:sz w:val="22"/>
          <w:szCs w:val="22"/>
        </w:rPr>
        <w:t xml:space="preserve">organisations; faith-based development organisations; </w:t>
      </w:r>
      <w:r w:rsidR="003E0AED" w:rsidRPr="00332613">
        <w:rPr>
          <w:sz w:val="22"/>
          <w:szCs w:val="22"/>
        </w:rPr>
        <w:t xml:space="preserve">mass-based associations (including youth, women, disabled, elderly, etc); </w:t>
      </w:r>
      <w:r w:rsidR="00272B6C" w:rsidRPr="00656C89">
        <w:rPr>
          <w:sz w:val="22"/>
          <w:szCs w:val="22"/>
        </w:rPr>
        <w:t xml:space="preserve">professional </w:t>
      </w:r>
      <w:r w:rsidR="00733BBA" w:rsidRPr="00D70B19">
        <w:rPr>
          <w:sz w:val="22"/>
          <w:szCs w:val="22"/>
        </w:rPr>
        <w:t xml:space="preserve">associations; </w:t>
      </w:r>
      <w:r w:rsidR="00272B6C" w:rsidRPr="004702D5">
        <w:rPr>
          <w:sz w:val="22"/>
          <w:szCs w:val="22"/>
        </w:rPr>
        <w:t>trade unions and labour federations; employers’ federations, chambers of commerce and other not-for-profit private sector entities; non-profit institutes of higher learning and research</w:t>
      </w:r>
      <w:r w:rsidR="00E3233E" w:rsidRPr="004702D5">
        <w:rPr>
          <w:sz w:val="22"/>
          <w:szCs w:val="22"/>
        </w:rPr>
        <w:t xml:space="preserve">; </w:t>
      </w:r>
      <w:r w:rsidR="00733BBA" w:rsidRPr="004702D5">
        <w:rPr>
          <w:sz w:val="22"/>
          <w:szCs w:val="22"/>
        </w:rPr>
        <w:t>consortiums (including consortia of consortiums and networks of local CSOs</w:t>
      </w:r>
      <w:r w:rsidR="004702D5">
        <w:rPr>
          <w:sz w:val="22"/>
          <w:szCs w:val="22"/>
        </w:rPr>
        <w:t>)</w:t>
      </w:r>
      <w:r w:rsidR="00E3233E" w:rsidRPr="004702D5">
        <w:rPr>
          <w:sz w:val="22"/>
          <w:szCs w:val="22"/>
        </w:rPr>
        <w:t xml:space="preserve">, </w:t>
      </w:r>
      <w:r w:rsidR="00E3233E" w:rsidRPr="004702D5">
        <w:rPr>
          <w:b/>
          <w:sz w:val="22"/>
          <w:szCs w:val="22"/>
        </w:rPr>
        <w:t>and</w:t>
      </w:r>
    </w:p>
    <w:p w:rsidR="009F692E" w:rsidRPr="009F692E" w:rsidRDefault="009F692E" w:rsidP="007C2B43">
      <w:pPr>
        <w:pStyle w:val="ListParagraph"/>
        <w:numPr>
          <w:ilvl w:val="0"/>
          <w:numId w:val="17"/>
        </w:numPr>
        <w:jc w:val="both"/>
        <w:rPr>
          <w:sz w:val="22"/>
          <w:szCs w:val="22"/>
        </w:rPr>
      </w:pPr>
      <w:r w:rsidRPr="009F692E">
        <w:rPr>
          <w:sz w:val="22"/>
          <w:szCs w:val="22"/>
        </w:rPr>
        <w:t>be established in</w:t>
      </w:r>
      <w:r w:rsidR="00E4796F">
        <w:rPr>
          <w:rStyle w:val="FootnoteReference"/>
          <w:sz w:val="22"/>
          <w:szCs w:val="22"/>
        </w:rPr>
        <w:footnoteReference w:id="8"/>
      </w:r>
      <w:r w:rsidRPr="009F692E">
        <w:rPr>
          <w:sz w:val="22"/>
          <w:szCs w:val="22"/>
        </w:rPr>
        <w:t xml:space="preserve"> the Federal Democratic Republic of Ethiopia, </w:t>
      </w:r>
      <w:r w:rsidRPr="009F692E">
        <w:rPr>
          <w:b/>
          <w:sz w:val="22"/>
          <w:szCs w:val="22"/>
        </w:rPr>
        <w:t>and</w:t>
      </w:r>
    </w:p>
    <w:p w:rsidR="009F692E" w:rsidRDefault="009F692E" w:rsidP="007C2B43">
      <w:pPr>
        <w:pStyle w:val="ListParagraph"/>
        <w:numPr>
          <w:ilvl w:val="0"/>
          <w:numId w:val="17"/>
        </w:numPr>
        <w:jc w:val="both"/>
        <w:rPr>
          <w:b/>
          <w:sz w:val="22"/>
          <w:szCs w:val="22"/>
        </w:rPr>
      </w:pPr>
      <w:r w:rsidRPr="009F692E">
        <w:rPr>
          <w:sz w:val="22"/>
          <w:szCs w:val="22"/>
        </w:rPr>
        <w:t>be directly responsible for the preparation and management of the action with the co</w:t>
      </w:r>
      <w:r w:rsidR="00413F8D">
        <w:rPr>
          <w:sz w:val="22"/>
          <w:szCs w:val="22"/>
        </w:rPr>
        <w:t>—</w:t>
      </w:r>
      <w:r w:rsidRPr="009F692E">
        <w:rPr>
          <w:sz w:val="22"/>
          <w:szCs w:val="22"/>
        </w:rPr>
        <w:t>applicant</w:t>
      </w:r>
      <w:r w:rsidR="00413F8D">
        <w:rPr>
          <w:sz w:val="22"/>
          <w:szCs w:val="22"/>
        </w:rPr>
        <w:t>(</w:t>
      </w:r>
      <w:r w:rsidRPr="009F692E">
        <w:rPr>
          <w:sz w:val="22"/>
          <w:szCs w:val="22"/>
        </w:rPr>
        <w:t>s) and affiliated entity(</w:t>
      </w:r>
      <w:proofErr w:type="spellStart"/>
      <w:r w:rsidRPr="009F692E">
        <w:rPr>
          <w:sz w:val="22"/>
          <w:szCs w:val="22"/>
        </w:rPr>
        <w:t>ies</w:t>
      </w:r>
      <w:proofErr w:type="spellEnd"/>
      <w:r w:rsidRPr="009F692E">
        <w:rPr>
          <w:sz w:val="22"/>
          <w:szCs w:val="22"/>
        </w:rPr>
        <w:t>), not acting as an intermediary</w:t>
      </w:r>
      <w:r>
        <w:rPr>
          <w:sz w:val="22"/>
          <w:szCs w:val="22"/>
        </w:rPr>
        <w:t>,</w:t>
      </w:r>
      <w:r w:rsidR="0055525C">
        <w:rPr>
          <w:sz w:val="22"/>
          <w:szCs w:val="22"/>
        </w:rPr>
        <w:t xml:space="preserve"> </w:t>
      </w:r>
      <w:r w:rsidRPr="009F692E">
        <w:rPr>
          <w:b/>
          <w:sz w:val="22"/>
          <w:szCs w:val="22"/>
        </w:rPr>
        <w:t>and</w:t>
      </w:r>
    </w:p>
    <w:p w:rsidR="0058437A" w:rsidRPr="006D7475" w:rsidRDefault="009F692E" w:rsidP="007C2B43">
      <w:pPr>
        <w:pStyle w:val="ListParagraph"/>
        <w:numPr>
          <w:ilvl w:val="0"/>
          <w:numId w:val="17"/>
        </w:numPr>
        <w:jc w:val="both"/>
        <w:rPr>
          <w:sz w:val="22"/>
          <w:szCs w:val="22"/>
        </w:rPr>
      </w:pPr>
      <w:r w:rsidRPr="006D7475">
        <w:rPr>
          <w:sz w:val="22"/>
          <w:szCs w:val="22"/>
        </w:rPr>
        <w:t xml:space="preserve">be able to demonstrate that they have </w:t>
      </w:r>
      <w:r w:rsidR="00596A93">
        <w:rPr>
          <w:sz w:val="22"/>
          <w:szCs w:val="22"/>
        </w:rPr>
        <w:t xml:space="preserve">experience </w:t>
      </w:r>
      <w:r w:rsidRPr="006D7475">
        <w:rPr>
          <w:sz w:val="22"/>
          <w:szCs w:val="22"/>
        </w:rPr>
        <w:t>in carrying out activities implemented in the fields covered by this Call for Proposa</w:t>
      </w:r>
      <w:r w:rsidR="0058437A" w:rsidRPr="006D7475">
        <w:rPr>
          <w:sz w:val="22"/>
          <w:szCs w:val="22"/>
        </w:rPr>
        <w:t>ls.</w:t>
      </w:r>
    </w:p>
    <w:p w:rsidR="0058437A" w:rsidRDefault="0058437A" w:rsidP="009763AA">
      <w:pPr>
        <w:jc w:val="both"/>
        <w:rPr>
          <w:sz w:val="22"/>
          <w:szCs w:val="22"/>
        </w:rPr>
      </w:pPr>
    </w:p>
    <w:p w:rsidR="0058437A" w:rsidRPr="0058437A" w:rsidRDefault="0058437A" w:rsidP="009763AA">
      <w:pPr>
        <w:jc w:val="both"/>
        <w:rPr>
          <w:sz w:val="22"/>
          <w:szCs w:val="22"/>
        </w:rPr>
      </w:pPr>
    </w:p>
    <w:p w:rsidR="000B5BFC" w:rsidRDefault="000508A4" w:rsidP="007C2B43">
      <w:pPr>
        <w:tabs>
          <w:tab w:val="left" w:pos="90"/>
          <w:tab w:val="left" w:pos="360"/>
        </w:tabs>
        <w:ind w:left="90" w:hanging="270"/>
        <w:jc w:val="both"/>
        <w:rPr>
          <w:sz w:val="22"/>
          <w:szCs w:val="22"/>
        </w:rPr>
      </w:pPr>
      <w:r>
        <w:rPr>
          <w:sz w:val="22"/>
          <w:szCs w:val="22"/>
        </w:rPr>
        <w:t>(2)</w:t>
      </w:r>
      <w:r w:rsidR="003E029C">
        <w:rPr>
          <w:sz w:val="22"/>
          <w:szCs w:val="22"/>
        </w:rPr>
        <w:t xml:space="preserve"> </w:t>
      </w:r>
      <w:r w:rsidR="00AC52F6">
        <w:rPr>
          <w:sz w:val="22"/>
          <w:szCs w:val="22"/>
        </w:rPr>
        <w:tab/>
      </w:r>
      <w:r w:rsidR="00764274" w:rsidRPr="009F692E">
        <w:rPr>
          <w:sz w:val="22"/>
          <w:szCs w:val="22"/>
        </w:rPr>
        <w:t>Potential applicants may not participate in calls for proposals or be awarded grants if they are in any of</w:t>
      </w:r>
      <w:r w:rsidR="0055525C">
        <w:rPr>
          <w:sz w:val="22"/>
          <w:szCs w:val="22"/>
        </w:rPr>
        <w:t xml:space="preserve"> </w:t>
      </w:r>
      <w:r w:rsidR="00764274" w:rsidRPr="009F692E">
        <w:rPr>
          <w:sz w:val="22"/>
          <w:szCs w:val="22"/>
        </w:rPr>
        <w:t>the situations listed in Section 2.6.10.1 of the practical guide</w:t>
      </w:r>
      <w:r w:rsidR="009F692E">
        <w:rPr>
          <w:sz w:val="22"/>
          <w:szCs w:val="22"/>
        </w:rPr>
        <w:t xml:space="preserve">. </w:t>
      </w:r>
    </w:p>
    <w:p w:rsidR="001B3D9A" w:rsidRDefault="001B3D9A" w:rsidP="007C2B43">
      <w:pPr>
        <w:tabs>
          <w:tab w:val="left" w:pos="360"/>
        </w:tabs>
        <w:jc w:val="both"/>
        <w:rPr>
          <w:sz w:val="22"/>
          <w:szCs w:val="22"/>
        </w:rPr>
      </w:pPr>
    </w:p>
    <w:p w:rsidR="000B5BFC" w:rsidRPr="009F692E" w:rsidRDefault="00764274" w:rsidP="007C2B43">
      <w:pPr>
        <w:tabs>
          <w:tab w:val="left" w:pos="360"/>
        </w:tabs>
        <w:jc w:val="both"/>
        <w:rPr>
          <w:sz w:val="22"/>
          <w:szCs w:val="22"/>
        </w:rPr>
      </w:pPr>
      <w:r w:rsidRPr="009F692E">
        <w:rPr>
          <w:sz w:val="22"/>
          <w:szCs w:val="22"/>
        </w:rPr>
        <w:t xml:space="preserve">Lead applicants, co-applicants, affiliated entities and, in case of legal entities, persons who have powers of </w:t>
      </w:r>
      <w:r w:rsidRPr="009F692E">
        <w:rPr>
          <w:sz w:val="22"/>
          <w:szCs w:val="22"/>
        </w:rPr>
        <w:lastRenderedPageBreak/>
        <w:t>representation, decision-making or control over the lead applicant, the co-applicants and the affiliated entities are informed that, should they be in one of the situations of early detection or exclusion according to Section 2.6.10.1 of the practical guide,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concerned in relation to the award or the execution of a grant contract.</w:t>
      </w:r>
    </w:p>
    <w:p w:rsidR="009F692E" w:rsidRPr="009F692E" w:rsidRDefault="009F692E" w:rsidP="007C2B43">
      <w:pPr>
        <w:jc w:val="both"/>
      </w:pPr>
    </w:p>
    <w:p w:rsidR="000B5BFC" w:rsidRPr="000E62D1" w:rsidRDefault="00764274" w:rsidP="007C2B43">
      <w:pPr>
        <w:jc w:val="both"/>
        <w:rPr>
          <w:sz w:val="22"/>
          <w:szCs w:val="22"/>
        </w:rPr>
      </w:pPr>
      <w:r w:rsidRPr="000E62D1">
        <w:rPr>
          <w:sz w:val="22"/>
          <w:szCs w:val="22"/>
        </w:rPr>
        <w:t>In Part A, Section 3 and Part B Section 8 of the grant application form (‘declaration(s) by the lead applicant’), the lead applicant must declare that the lead applicant himself, the co-applicant(s) and affiliated entity(</w:t>
      </w:r>
      <w:proofErr w:type="spellStart"/>
      <w:r w:rsidRPr="000E62D1">
        <w:rPr>
          <w:sz w:val="22"/>
          <w:szCs w:val="22"/>
        </w:rPr>
        <w:t>ies</w:t>
      </w:r>
      <w:proofErr w:type="spellEnd"/>
      <w:r w:rsidRPr="000E62D1">
        <w:rPr>
          <w:sz w:val="22"/>
          <w:szCs w:val="22"/>
        </w:rPr>
        <w:t>) are not in any of these situations.</w:t>
      </w:r>
    </w:p>
    <w:p w:rsidR="000508A4" w:rsidRPr="000E62D1" w:rsidRDefault="000508A4" w:rsidP="007C2B43">
      <w:pPr>
        <w:jc w:val="both"/>
        <w:rPr>
          <w:sz w:val="22"/>
          <w:szCs w:val="22"/>
        </w:rPr>
      </w:pPr>
    </w:p>
    <w:p w:rsidR="000B5BFC" w:rsidRPr="000E62D1" w:rsidRDefault="000508A4" w:rsidP="007C2B43">
      <w:pPr>
        <w:jc w:val="both"/>
        <w:rPr>
          <w:sz w:val="22"/>
          <w:szCs w:val="22"/>
        </w:rPr>
      </w:pPr>
      <w:r w:rsidRPr="000E62D1">
        <w:rPr>
          <w:sz w:val="22"/>
          <w:szCs w:val="22"/>
        </w:rPr>
        <w:t>The lead applicant may act individually or with co-applicant(s).</w:t>
      </w:r>
    </w:p>
    <w:p w:rsidR="000B5BFC" w:rsidRPr="000E62D1" w:rsidRDefault="000B5BFC" w:rsidP="007C2B43">
      <w:pPr>
        <w:jc w:val="both"/>
        <w:rPr>
          <w:sz w:val="22"/>
          <w:szCs w:val="22"/>
        </w:rPr>
      </w:pPr>
    </w:p>
    <w:p w:rsidR="000B5BFC" w:rsidRDefault="00764274" w:rsidP="007C2B43">
      <w:pPr>
        <w:jc w:val="both"/>
        <w:rPr>
          <w:sz w:val="22"/>
          <w:szCs w:val="22"/>
        </w:rPr>
      </w:pPr>
      <w:r w:rsidRPr="000508A4">
        <w:rPr>
          <w:sz w:val="22"/>
          <w:szCs w:val="22"/>
        </w:rPr>
        <w:t>If awarded the grant contract, the lead applicant will become the beneficiary identified as the coordinator in Annex E3h1 (special conditions). The coordinator is the main interlocutor of the contracting authority. It represents and acts on behalf of any other co-beneficiary (if any) and coordinate</w:t>
      </w:r>
      <w:r w:rsidR="000508A4">
        <w:rPr>
          <w:sz w:val="22"/>
          <w:szCs w:val="22"/>
        </w:rPr>
        <w:t>s</w:t>
      </w:r>
      <w:r w:rsidRPr="000508A4">
        <w:rPr>
          <w:sz w:val="22"/>
          <w:szCs w:val="22"/>
        </w:rPr>
        <w:t xml:space="preserve"> the design and implementation of the action.</w:t>
      </w:r>
    </w:p>
    <w:p w:rsidR="000508A4" w:rsidRDefault="000508A4" w:rsidP="009763AA">
      <w:pPr>
        <w:jc w:val="both"/>
        <w:rPr>
          <w:sz w:val="22"/>
          <w:szCs w:val="22"/>
        </w:rPr>
      </w:pPr>
    </w:p>
    <w:p w:rsidR="000B5BFC" w:rsidRDefault="00764274" w:rsidP="007C2B43">
      <w:pPr>
        <w:pStyle w:val="Bodytext51"/>
        <w:shd w:val="clear" w:color="auto" w:fill="auto"/>
        <w:spacing w:before="0" w:after="188" w:line="240" w:lineRule="auto"/>
        <w:ind w:firstLine="0"/>
      </w:pPr>
      <w:r>
        <w:t>Co-applicant(s)</w:t>
      </w:r>
    </w:p>
    <w:p w:rsidR="000B5BFC" w:rsidRDefault="00764274" w:rsidP="007C2B43">
      <w:pPr>
        <w:pStyle w:val="Bodytext21"/>
        <w:shd w:val="clear" w:color="auto" w:fill="auto"/>
        <w:spacing w:before="0" w:after="47" w:line="240" w:lineRule="auto"/>
        <w:ind w:firstLine="0"/>
      </w:pPr>
      <w:r>
        <w:t xml:space="preserve">Co-applicants participate in designing and implementing the action, and the costs they incur are eligible in the </w:t>
      </w:r>
      <w:r>
        <w:rPr>
          <w:lang w:val="hr-HR" w:eastAsia="hr-HR" w:bidi="hr-HR"/>
        </w:rPr>
        <w:t xml:space="preserve">same </w:t>
      </w:r>
      <w:r>
        <w:t xml:space="preserve">way as </w:t>
      </w:r>
      <w:r w:rsidRPr="00FB3718">
        <w:rPr>
          <w:lang w:eastAsia="da-DK" w:bidi="da-DK"/>
        </w:rPr>
        <w:t xml:space="preserve">those </w:t>
      </w:r>
      <w:r>
        <w:t>incurred by the lead applicant.</w:t>
      </w:r>
    </w:p>
    <w:p w:rsidR="000B5BFC" w:rsidRDefault="00764274" w:rsidP="007C2B43">
      <w:pPr>
        <w:pStyle w:val="Bodytext21"/>
        <w:shd w:val="clear" w:color="auto" w:fill="auto"/>
        <w:spacing w:before="0" w:after="0" w:line="240" w:lineRule="auto"/>
        <w:ind w:firstLine="0"/>
      </w:pPr>
      <w:r>
        <w:t>Co-applicants must satisfy the eligibility criteria as applicable to the lead applicant himself</w:t>
      </w:r>
      <w:r w:rsidR="001159DC">
        <w:t xml:space="preserve">, except that they do not need to be established in the </w:t>
      </w:r>
      <w:r w:rsidR="001159DC" w:rsidRPr="009F692E">
        <w:t>Federal Democratic Republic of Ethiopia</w:t>
      </w:r>
      <w:r>
        <w:t>.</w:t>
      </w:r>
    </w:p>
    <w:p w:rsidR="000B5BFC" w:rsidRDefault="00764274" w:rsidP="007C2B43">
      <w:pPr>
        <w:pStyle w:val="Bodytext21"/>
        <w:shd w:val="clear" w:color="auto" w:fill="auto"/>
        <w:spacing w:before="0" w:after="0" w:line="240" w:lineRule="auto"/>
        <w:ind w:firstLine="0"/>
      </w:pPr>
      <w:r>
        <w:t xml:space="preserve">In addition to the categories referred to in Section 2.1.1, the following are however also eligible: </w:t>
      </w:r>
    </w:p>
    <w:p w:rsidR="00ED03E3" w:rsidRDefault="007A5E10" w:rsidP="007C2B43">
      <w:pPr>
        <w:pStyle w:val="NoSpacing"/>
        <w:numPr>
          <w:ilvl w:val="0"/>
          <w:numId w:val="18"/>
        </w:numPr>
        <w:jc w:val="both"/>
        <w:rPr>
          <w:sz w:val="22"/>
          <w:szCs w:val="22"/>
        </w:rPr>
      </w:pPr>
      <w:r>
        <w:rPr>
          <w:sz w:val="22"/>
          <w:szCs w:val="22"/>
        </w:rPr>
        <w:t>N</w:t>
      </w:r>
      <w:r w:rsidR="00ED03E3" w:rsidRPr="00ED03E3">
        <w:rPr>
          <w:sz w:val="22"/>
          <w:szCs w:val="22"/>
        </w:rPr>
        <w:t xml:space="preserve">on-governmental </w:t>
      </w:r>
      <w:r w:rsidR="007C2B43" w:rsidRPr="00ED03E3">
        <w:rPr>
          <w:sz w:val="22"/>
          <w:szCs w:val="22"/>
        </w:rPr>
        <w:t>organizations</w:t>
      </w:r>
      <w:r w:rsidR="00ED03E3" w:rsidRPr="00ED03E3">
        <w:rPr>
          <w:sz w:val="22"/>
          <w:szCs w:val="22"/>
        </w:rPr>
        <w:t xml:space="preserve"> </w:t>
      </w:r>
      <w:r>
        <w:rPr>
          <w:sz w:val="22"/>
          <w:szCs w:val="22"/>
        </w:rPr>
        <w:t>established</w:t>
      </w:r>
      <w:r w:rsidRPr="00ED03E3">
        <w:rPr>
          <w:sz w:val="22"/>
          <w:szCs w:val="22"/>
        </w:rPr>
        <w:t xml:space="preserve"> </w:t>
      </w:r>
      <w:r w:rsidR="00ED03E3" w:rsidRPr="00ED03E3">
        <w:rPr>
          <w:sz w:val="22"/>
          <w:szCs w:val="22"/>
        </w:rPr>
        <w:t xml:space="preserve">in </w:t>
      </w:r>
      <w:r>
        <w:rPr>
          <w:sz w:val="22"/>
          <w:szCs w:val="22"/>
        </w:rPr>
        <w:t xml:space="preserve">European Union </w:t>
      </w:r>
      <w:r w:rsidR="00ED03E3" w:rsidRPr="00ED03E3">
        <w:rPr>
          <w:sz w:val="22"/>
          <w:szCs w:val="22"/>
        </w:rPr>
        <w:t xml:space="preserve">or </w:t>
      </w:r>
      <w:r>
        <w:rPr>
          <w:sz w:val="22"/>
          <w:szCs w:val="22"/>
        </w:rPr>
        <w:t>African Union</w:t>
      </w:r>
      <w:r w:rsidRPr="00ED03E3">
        <w:rPr>
          <w:sz w:val="22"/>
          <w:szCs w:val="22"/>
        </w:rPr>
        <w:t xml:space="preserve"> </w:t>
      </w:r>
      <w:r>
        <w:rPr>
          <w:sz w:val="22"/>
          <w:szCs w:val="22"/>
        </w:rPr>
        <w:t>M</w:t>
      </w:r>
      <w:r w:rsidRPr="00ED03E3">
        <w:rPr>
          <w:sz w:val="22"/>
          <w:szCs w:val="22"/>
        </w:rPr>
        <w:t xml:space="preserve">ember </w:t>
      </w:r>
      <w:r>
        <w:rPr>
          <w:sz w:val="22"/>
          <w:szCs w:val="22"/>
        </w:rPr>
        <w:t>S</w:t>
      </w:r>
      <w:r w:rsidRPr="00ED03E3">
        <w:rPr>
          <w:sz w:val="22"/>
          <w:szCs w:val="22"/>
        </w:rPr>
        <w:t>tates</w:t>
      </w:r>
      <w:r w:rsidR="00ED03E3" w:rsidRPr="00ED03E3">
        <w:rPr>
          <w:sz w:val="22"/>
          <w:szCs w:val="22"/>
        </w:rPr>
        <w:t>, and registered to operate in Ethiopia.</w:t>
      </w:r>
    </w:p>
    <w:p w:rsidR="001159DC" w:rsidRDefault="001159DC" w:rsidP="007C2B43">
      <w:pPr>
        <w:pStyle w:val="NoSpacing"/>
        <w:ind w:left="720"/>
        <w:jc w:val="both"/>
        <w:rPr>
          <w:sz w:val="22"/>
          <w:szCs w:val="22"/>
        </w:rPr>
      </w:pPr>
      <w:r>
        <w:rPr>
          <w:sz w:val="22"/>
          <w:szCs w:val="22"/>
        </w:rPr>
        <w:t>For British applicants: Please be aware that eligibility criteria must be complied with for the entire duration of the grant. Unless sector-specific eligibility rules provide otherwise</w:t>
      </w:r>
      <w:r>
        <w:rPr>
          <w:rStyle w:val="FootnoteReference"/>
          <w:sz w:val="22"/>
          <w:szCs w:val="22"/>
        </w:rPr>
        <w:footnoteReference w:id="9"/>
      </w:r>
      <w:r>
        <w:rPr>
          <w:sz w:val="22"/>
          <w:szCs w:val="22"/>
        </w:rPr>
        <w:t>, if the United Kingdom withdraws from the EU during the grant period without concluding an agreement with the EU ensuring in particular that British applicants continue to be eligible, you will cease to receive EU funding (while continuing, where possible to participate) or will be required to leave the project on the basis of Article 12.2 of the grant agreement general conditions.</w:t>
      </w:r>
    </w:p>
    <w:p w:rsidR="001159DC" w:rsidRPr="00ED03E3" w:rsidRDefault="001159DC" w:rsidP="007C2B43">
      <w:pPr>
        <w:pStyle w:val="NoSpacing"/>
        <w:ind w:left="720"/>
        <w:jc w:val="both"/>
        <w:rPr>
          <w:sz w:val="22"/>
          <w:szCs w:val="22"/>
        </w:rPr>
      </w:pPr>
    </w:p>
    <w:p w:rsidR="00ED03E3" w:rsidRPr="00ED03E3" w:rsidRDefault="00ED03E3" w:rsidP="007C2B43">
      <w:pPr>
        <w:pStyle w:val="Bodytext21"/>
        <w:shd w:val="clear" w:color="auto" w:fill="auto"/>
        <w:spacing w:before="0" w:after="0" w:line="240" w:lineRule="auto"/>
        <w:ind w:firstLine="0"/>
        <w:rPr>
          <w:b/>
        </w:rPr>
      </w:pPr>
      <w:r w:rsidRPr="00ED03E3">
        <w:rPr>
          <w:b/>
        </w:rPr>
        <w:t xml:space="preserve">Note: Only one </w:t>
      </w:r>
      <w:r w:rsidR="007A5E10">
        <w:rPr>
          <w:b/>
        </w:rPr>
        <w:t>non-Ethiopian</w:t>
      </w:r>
      <w:r w:rsidR="007A5E10" w:rsidRPr="00ED03E3">
        <w:rPr>
          <w:b/>
        </w:rPr>
        <w:t xml:space="preserve"> </w:t>
      </w:r>
      <w:r w:rsidRPr="00ED03E3">
        <w:rPr>
          <w:b/>
        </w:rPr>
        <w:t>partner is permitted per application.</w:t>
      </w:r>
    </w:p>
    <w:p w:rsidR="000B5BFC" w:rsidRDefault="00764274" w:rsidP="007C2B43">
      <w:pPr>
        <w:pStyle w:val="Bodytext21"/>
        <w:shd w:val="clear" w:color="auto" w:fill="auto"/>
        <w:spacing w:before="0" w:after="0" w:line="240" w:lineRule="auto"/>
        <w:ind w:firstLine="0"/>
      </w:pPr>
      <w:r>
        <w:t>Co-applicants must sign the mandate in Part B Section 4 of the grant application form.</w:t>
      </w:r>
    </w:p>
    <w:p w:rsidR="00ED03E3" w:rsidRDefault="00ED03E3" w:rsidP="007C2B43">
      <w:pPr>
        <w:pStyle w:val="Bodytext21"/>
        <w:shd w:val="clear" w:color="auto" w:fill="auto"/>
        <w:spacing w:before="0" w:after="0" w:line="240" w:lineRule="auto"/>
        <w:ind w:firstLine="0"/>
      </w:pPr>
    </w:p>
    <w:p w:rsidR="000B5BFC" w:rsidRDefault="00ED03E3" w:rsidP="007C2B43">
      <w:pPr>
        <w:pStyle w:val="Bodytext21"/>
        <w:shd w:val="clear" w:color="auto" w:fill="auto"/>
        <w:tabs>
          <w:tab w:val="left" w:pos="451"/>
        </w:tabs>
        <w:spacing w:before="0" w:after="0" w:line="240" w:lineRule="auto"/>
        <w:ind w:left="450" w:hanging="450"/>
      </w:pPr>
      <w:r>
        <w:t xml:space="preserve">(3) </w:t>
      </w:r>
      <w:r w:rsidR="005336DC">
        <w:tab/>
      </w:r>
      <w:r w:rsidR="00764274">
        <w:t xml:space="preserve">Applicants included in the lists of </w:t>
      </w:r>
      <w:r w:rsidR="00764274" w:rsidRPr="00FB3718">
        <w:rPr>
          <w:lang w:eastAsia="fr-FR" w:bidi="fr-FR"/>
        </w:rPr>
        <w:t xml:space="preserve">EU </w:t>
      </w:r>
      <w:r w:rsidR="00764274">
        <w:t xml:space="preserve">restrictive measures (see Section 2.4. of the </w:t>
      </w:r>
      <w:r w:rsidR="00764274" w:rsidRPr="00FB3718">
        <w:rPr>
          <w:lang w:eastAsia="de-DE" w:bidi="de-DE"/>
        </w:rPr>
        <w:t xml:space="preserve">PRAG) </w:t>
      </w:r>
      <w:r w:rsidR="00764274">
        <w:t>at the moment of the award decision cannot be awarded the contract</w:t>
      </w:r>
      <w:r w:rsidR="005336DC">
        <w:rPr>
          <w:rStyle w:val="FootnoteReference"/>
        </w:rPr>
        <w:footnoteReference w:id="10"/>
      </w:r>
      <w:r w:rsidR="00764274">
        <w:t>.</w:t>
      </w:r>
    </w:p>
    <w:p w:rsidR="000B5BFC" w:rsidRDefault="00764274" w:rsidP="007C2B43">
      <w:pPr>
        <w:pStyle w:val="Bodytext21"/>
        <w:shd w:val="clear" w:color="auto" w:fill="auto"/>
        <w:spacing w:before="0" w:after="0" w:line="240" w:lineRule="auto"/>
        <w:ind w:left="460" w:firstLine="0"/>
      </w:pPr>
      <w:r>
        <w:t>If awarded the grant contract, the co-applicant(s) (if any) will become beneficiary</w:t>
      </w:r>
      <w:r w:rsidR="009F71B7">
        <w:t xml:space="preserve"> </w:t>
      </w:r>
      <w:r>
        <w:t>(</w:t>
      </w:r>
      <w:proofErr w:type="spellStart"/>
      <w:r>
        <w:t>ies</w:t>
      </w:r>
      <w:proofErr w:type="spellEnd"/>
      <w:r>
        <w:t>) in the action (together with the coordinator)</w:t>
      </w:r>
      <w:r w:rsidR="00827BC0">
        <w:t>.</w:t>
      </w:r>
    </w:p>
    <w:p w:rsidR="00491C25" w:rsidRPr="00645686" w:rsidRDefault="00491C25" w:rsidP="009763AA">
      <w:pPr>
        <w:pStyle w:val="Heading3"/>
        <w:numPr>
          <w:ilvl w:val="2"/>
          <w:numId w:val="47"/>
        </w:numPr>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19" w:name="_Toc5010051"/>
      <w:bookmarkStart w:id="20" w:name="_Hlk536179960"/>
      <w:r w:rsidRPr="00645686">
        <w:rPr>
          <w:rFonts w:ascii="Times New Roman" w:hAnsi="Times New Roman" w:cs="Times New Roman"/>
          <w:i/>
          <w:color w:val="auto"/>
        </w:rPr>
        <w:t>Affiliated entities</w:t>
      </w:r>
      <w:bookmarkEnd w:id="19"/>
    </w:p>
    <w:bookmarkEnd w:id="20"/>
    <w:p w:rsidR="00354B7E" w:rsidRDefault="00354B7E"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The lead applicant and its co-applicant(s) may act with affiliated entity</w:t>
      </w:r>
      <w:r w:rsidR="009F71B7">
        <w:t xml:space="preserve"> </w:t>
      </w:r>
      <w:r>
        <w:t>(</w:t>
      </w:r>
      <w:proofErr w:type="spellStart"/>
      <w:r>
        <w:t>ies</w:t>
      </w:r>
      <w:proofErr w:type="spellEnd"/>
      <w:r>
        <w:t>).</w:t>
      </w:r>
    </w:p>
    <w:p w:rsidR="000B5BFC" w:rsidRDefault="00764274" w:rsidP="007C2B43">
      <w:pPr>
        <w:pStyle w:val="Bodytext51"/>
        <w:shd w:val="clear" w:color="auto" w:fill="auto"/>
        <w:spacing w:before="0" w:after="0" w:line="240" w:lineRule="auto"/>
        <w:ind w:firstLine="0"/>
      </w:pPr>
      <w:r>
        <w:t xml:space="preserve">Only the following entities may be considered as affiliated entities to the lead applicant and/or to </w:t>
      </w:r>
      <w:proofErr w:type="spellStart"/>
      <w:r>
        <w:t>co</w:t>
      </w:r>
      <w:r>
        <w:softHyphen/>
      </w:r>
      <w:r w:rsidR="00121A97">
        <w:lastRenderedPageBreak/>
        <w:t>a</w:t>
      </w:r>
      <w:r>
        <w:t>pplicants</w:t>
      </w:r>
      <w:proofErr w:type="spellEnd"/>
      <w:r>
        <w:t>):</w:t>
      </w:r>
    </w:p>
    <w:p w:rsidR="000B5BFC" w:rsidRDefault="00764274" w:rsidP="007C2B43">
      <w:pPr>
        <w:pStyle w:val="Bodytext21"/>
        <w:shd w:val="clear" w:color="auto" w:fill="auto"/>
        <w:spacing w:before="0" w:after="0" w:line="240" w:lineRule="auto"/>
        <w:ind w:firstLine="0"/>
      </w:pPr>
      <w:r>
        <w:t>Only entities having a structural link with the applicants</w:t>
      </w:r>
      <w:r w:rsidR="00121A97">
        <w:t xml:space="preserve"> </w:t>
      </w:r>
      <w:r>
        <w:t>(i.e. the lead applicant or a co-applicant</w:t>
      </w:r>
      <w:r w:rsidR="00505F1A">
        <w:t>), in</w:t>
      </w:r>
      <w:r w:rsidR="00121A97">
        <w:t xml:space="preserve"> </w:t>
      </w:r>
      <w:r>
        <w:t>particular a legal or capital link.</w:t>
      </w:r>
    </w:p>
    <w:p w:rsidR="000B5BFC" w:rsidRDefault="00764274" w:rsidP="007C2B43">
      <w:pPr>
        <w:pStyle w:val="Bodytext21"/>
        <w:shd w:val="clear" w:color="auto" w:fill="auto"/>
        <w:spacing w:before="0" w:after="0" w:line="240" w:lineRule="auto"/>
        <w:ind w:firstLine="0"/>
      </w:pPr>
      <w:r>
        <w:t xml:space="preserve">This structural link encompasses mainly two </w:t>
      </w:r>
      <w:r w:rsidRPr="00FB3718">
        <w:rPr>
          <w:lang w:eastAsia="da-DK" w:bidi="da-DK"/>
        </w:rPr>
        <w:t>notions:</w:t>
      </w:r>
    </w:p>
    <w:p w:rsidR="000B5BFC" w:rsidRDefault="00764274" w:rsidP="007C2B43">
      <w:pPr>
        <w:pStyle w:val="Bodytext21"/>
        <w:numPr>
          <w:ilvl w:val="0"/>
          <w:numId w:val="7"/>
        </w:numPr>
        <w:shd w:val="clear" w:color="auto" w:fill="auto"/>
        <w:tabs>
          <w:tab w:val="left" w:pos="803"/>
        </w:tabs>
        <w:spacing w:before="0" w:after="0" w:line="240" w:lineRule="auto"/>
        <w:ind w:left="740" w:hanging="540"/>
      </w:pPr>
      <w:r>
        <w:t>Control, as defined in Directive 2013/34/EU on the annual financial statements, consolidated financial statements and related reports of certain types of undertakings:</w:t>
      </w:r>
    </w:p>
    <w:p w:rsidR="00121A97" w:rsidRPr="00121A97" w:rsidRDefault="00121A97" w:rsidP="007C2B43">
      <w:pPr>
        <w:pStyle w:val="Bodytext21"/>
        <w:shd w:val="clear" w:color="auto" w:fill="auto"/>
        <w:spacing w:before="0" w:after="0" w:line="240" w:lineRule="auto"/>
        <w:ind w:left="740" w:firstLine="0"/>
        <w:rPr>
          <w:sz w:val="12"/>
        </w:rPr>
      </w:pPr>
    </w:p>
    <w:p w:rsidR="000B5BFC" w:rsidRDefault="00764274" w:rsidP="007C2B43">
      <w:pPr>
        <w:pStyle w:val="Bodytext21"/>
        <w:shd w:val="clear" w:color="auto" w:fill="auto"/>
        <w:spacing w:before="0" w:after="0" w:line="240" w:lineRule="auto"/>
        <w:ind w:left="740" w:firstLine="0"/>
      </w:pPr>
      <w:r>
        <w:t xml:space="preserve">Entities affiliated to an applicant may hence </w:t>
      </w:r>
      <w:r w:rsidRPr="00FB3718">
        <w:rPr>
          <w:lang w:eastAsia="da-DK" w:bidi="da-DK"/>
        </w:rPr>
        <w:t>be:</w:t>
      </w:r>
    </w:p>
    <w:p w:rsidR="000B5BFC" w:rsidRDefault="00764274" w:rsidP="007C2B43">
      <w:pPr>
        <w:pStyle w:val="Bodytext21"/>
        <w:numPr>
          <w:ilvl w:val="0"/>
          <w:numId w:val="8"/>
        </w:numPr>
        <w:shd w:val="clear" w:color="auto" w:fill="auto"/>
        <w:tabs>
          <w:tab w:val="left" w:pos="1318"/>
        </w:tabs>
        <w:spacing w:before="0" w:after="0" w:line="240" w:lineRule="auto"/>
        <w:ind w:left="1320" w:hanging="280"/>
      </w:pPr>
      <w:r>
        <w:t xml:space="preserve">Entities directly or indirectly controlled by the applicant (daughter companies or first-tier subsidiaries). They may also be entities controlled by an entity controlled by the applicant (granddaughter companies or second-tier subsidiaries) and the same applies to further tiers of </w:t>
      </w:r>
      <w:r w:rsidRPr="00FB3718">
        <w:rPr>
          <w:lang w:eastAsia="da-DK" w:bidi="da-DK"/>
        </w:rPr>
        <w:t>control;</w:t>
      </w:r>
    </w:p>
    <w:p w:rsidR="000B5BFC" w:rsidRDefault="00764274" w:rsidP="007C2B43">
      <w:pPr>
        <w:pStyle w:val="Bodytext21"/>
        <w:numPr>
          <w:ilvl w:val="0"/>
          <w:numId w:val="8"/>
        </w:numPr>
        <w:shd w:val="clear" w:color="auto" w:fill="auto"/>
        <w:tabs>
          <w:tab w:val="left" w:pos="1318"/>
        </w:tabs>
        <w:spacing w:before="0" w:after="0" w:line="240" w:lineRule="auto"/>
        <w:ind w:left="1320" w:hanging="280"/>
      </w:pPr>
      <w:r>
        <w:t>Entities directly or indirectly controlling the applicant (parent companies). Likewise, they may be entities controlling an entity controlling the applicant;</w:t>
      </w:r>
    </w:p>
    <w:p w:rsidR="000B5BFC" w:rsidRDefault="00764274" w:rsidP="007C2B43">
      <w:pPr>
        <w:pStyle w:val="Bodytext21"/>
        <w:shd w:val="clear" w:color="auto" w:fill="auto"/>
        <w:spacing w:before="0" w:after="0" w:line="240" w:lineRule="auto"/>
        <w:ind w:left="620" w:firstLine="420"/>
      </w:pPr>
      <w:r>
        <w:t>- Entities under the same direct or indirect control as the applicant (sister companies).</w:t>
      </w:r>
    </w:p>
    <w:p w:rsidR="0058437A" w:rsidRDefault="0058437A" w:rsidP="007C2B43">
      <w:pPr>
        <w:pStyle w:val="Bodytext21"/>
        <w:shd w:val="clear" w:color="auto" w:fill="auto"/>
        <w:spacing w:before="0" w:after="0" w:line="240" w:lineRule="auto"/>
        <w:ind w:left="20" w:firstLine="0"/>
      </w:pPr>
    </w:p>
    <w:p w:rsidR="000B5BFC" w:rsidRDefault="00764274" w:rsidP="007C2B43">
      <w:pPr>
        <w:pStyle w:val="Bodytext21"/>
        <w:numPr>
          <w:ilvl w:val="0"/>
          <w:numId w:val="7"/>
        </w:numPr>
        <w:shd w:val="clear" w:color="auto" w:fill="auto"/>
        <w:tabs>
          <w:tab w:val="left" w:pos="758"/>
        </w:tabs>
        <w:spacing w:before="0" w:after="0" w:line="240" w:lineRule="auto"/>
        <w:ind w:left="760" w:hanging="580"/>
      </w:pPr>
      <w:r>
        <w:t>Membership, i.e. the applicant is legally defined as</w:t>
      </w:r>
      <w:r w:rsidR="006D7475">
        <w:t>, for example, a</w:t>
      </w:r>
      <w:r>
        <w:t xml:space="preserve"> network, federation, association in which the proposed affiliated entities also participate or the applicant participates in the same entity (e.g. network, federation, association) as the proposed affiliated entities.</w:t>
      </w:r>
    </w:p>
    <w:p w:rsidR="00121A97" w:rsidRDefault="00121A97"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 xml:space="preserve">The structural link shall as a general rule be neither limited to the action nor established </w:t>
      </w:r>
      <w:r w:rsidRPr="00FB3718">
        <w:rPr>
          <w:lang w:eastAsia="da-DK" w:bidi="da-DK"/>
        </w:rPr>
        <w:t xml:space="preserve">for </w:t>
      </w:r>
      <w:r w:rsidR="00121A97">
        <w:t xml:space="preserve">the sole purpose </w:t>
      </w:r>
      <w:r>
        <w:t>of its implementation. This means that the link would exist independently of the award of the grant</w:t>
      </w:r>
      <w:r w:rsidR="006D7475">
        <w:t>:</w:t>
      </w:r>
      <w:r>
        <w:t xml:space="preserve"> it should exist before the call </w:t>
      </w:r>
      <w:r w:rsidRPr="007869AD">
        <w:rPr>
          <w:lang w:eastAsia="da-DK" w:bidi="da-DK"/>
        </w:rPr>
        <w:t xml:space="preserve">for </w:t>
      </w:r>
      <w:r>
        <w:t>proposals and remain valid after the end of the action.</w:t>
      </w:r>
    </w:p>
    <w:p w:rsidR="000B5BFC" w:rsidRDefault="00764274" w:rsidP="007C2B43">
      <w:pPr>
        <w:pStyle w:val="Bodytext21"/>
        <w:shd w:val="clear" w:color="auto" w:fill="auto"/>
        <w:spacing w:before="0" w:after="0" w:line="240" w:lineRule="auto"/>
        <w:ind w:firstLine="0"/>
      </w:pPr>
      <w:r>
        <w:t xml:space="preserve">By way of exception, an entity may be considered as affiliated to an applicant even if it has a structural link specifically established for the sole purpose of the implementation of the action in the case of so-called ‘sole applicants’ or ‘sole </w:t>
      </w:r>
      <w:r w:rsidR="0058437A">
        <w:t>beneficiaries’</w:t>
      </w:r>
      <w:r>
        <w:t xml:space="preserve">. A sole applicant or a sole beneficiary is a legal entity formed by several entities (a group of entities) which together comply with the criteria for being awarded the grant. For example, an association is </w:t>
      </w:r>
      <w:r w:rsidRPr="00FB3718">
        <w:rPr>
          <w:lang w:eastAsia="da-DK" w:bidi="da-DK"/>
        </w:rPr>
        <w:t xml:space="preserve">formed </w:t>
      </w:r>
      <w:r>
        <w:t>by its members.</w:t>
      </w:r>
    </w:p>
    <w:p w:rsidR="00121A97" w:rsidRDefault="00121A97" w:rsidP="007C2B43">
      <w:pPr>
        <w:pStyle w:val="Bodytext21"/>
        <w:shd w:val="clear" w:color="auto" w:fill="auto"/>
        <w:spacing w:before="0" w:after="0" w:line="240" w:lineRule="auto"/>
        <w:ind w:firstLine="0"/>
        <w:rPr>
          <w:rStyle w:val="Bodytext26"/>
        </w:rPr>
      </w:pPr>
    </w:p>
    <w:p w:rsidR="000B5BFC" w:rsidRDefault="00764274" w:rsidP="007C2B43">
      <w:pPr>
        <w:pStyle w:val="Bodytext21"/>
        <w:shd w:val="clear" w:color="auto" w:fill="auto"/>
        <w:spacing w:before="0" w:after="0" w:line="240" w:lineRule="auto"/>
        <w:ind w:firstLine="0"/>
      </w:pPr>
      <w:r>
        <w:rPr>
          <w:rStyle w:val="Bodytext26"/>
        </w:rPr>
        <w:t>What is not an affiliated entity?</w:t>
      </w:r>
    </w:p>
    <w:p w:rsidR="00121A97" w:rsidRDefault="00121A97"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The following are not considered entities affiliated to an applicant:</w:t>
      </w:r>
    </w:p>
    <w:p w:rsidR="000B5BFC" w:rsidRDefault="00764274" w:rsidP="007C2B43">
      <w:pPr>
        <w:pStyle w:val="Bodytext21"/>
        <w:numPr>
          <w:ilvl w:val="0"/>
          <w:numId w:val="8"/>
        </w:numPr>
        <w:shd w:val="clear" w:color="auto" w:fill="auto"/>
        <w:tabs>
          <w:tab w:val="left" w:pos="758"/>
        </w:tabs>
        <w:spacing w:before="0" w:after="0" w:line="240" w:lineRule="auto"/>
        <w:ind w:left="760" w:hanging="360"/>
      </w:pPr>
      <w:r>
        <w:t xml:space="preserve">Entities that have entered into a (procurement) contract or subcontract with an applicant, act as concessionaires or </w:t>
      </w:r>
      <w:r w:rsidR="00827BC0">
        <w:t>d</w:t>
      </w:r>
      <w:r w:rsidR="00E9446E">
        <w:t>elegates</w:t>
      </w:r>
      <w:r>
        <w:t xml:space="preserve"> for public </w:t>
      </w:r>
      <w:r w:rsidRPr="00FB3718">
        <w:rPr>
          <w:lang w:eastAsia="da-DK" w:bidi="da-DK"/>
        </w:rPr>
        <w:t xml:space="preserve">services </w:t>
      </w:r>
      <w:r>
        <w:t>for an applicant,</w:t>
      </w:r>
    </w:p>
    <w:p w:rsidR="000B5BFC" w:rsidRDefault="00764274" w:rsidP="007C2B43">
      <w:pPr>
        <w:pStyle w:val="Bodytext21"/>
        <w:numPr>
          <w:ilvl w:val="0"/>
          <w:numId w:val="8"/>
        </w:numPr>
        <w:shd w:val="clear" w:color="auto" w:fill="auto"/>
        <w:tabs>
          <w:tab w:val="left" w:pos="758"/>
        </w:tabs>
        <w:spacing w:before="0" w:after="0" w:line="240" w:lineRule="auto"/>
        <w:ind w:left="760" w:hanging="360"/>
      </w:pPr>
      <w:r>
        <w:t>Entities that receive financial support from the applicant,</w:t>
      </w:r>
    </w:p>
    <w:p w:rsidR="000B5BFC" w:rsidRDefault="00764274" w:rsidP="007C2B43">
      <w:pPr>
        <w:pStyle w:val="Bodytext21"/>
        <w:numPr>
          <w:ilvl w:val="0"/>
          <w:numId w:val="8"/>
        </w:numPr>
        <w:shd w:val="clear" w:color="auto" w:fill="auto"/>
        <w:tabs>
          <w:tab w:val="left" w:pos="758"/>
        </w:tabs>
        <w:spacing w:before="0" w:after="0" w:line="240" w:lineRule="auto"/>
        <w:ind w:left="760" w:hanging="360"/>
      </w:pPr>
      <w:r>
        <w:t>Entities that cooperate on a regular basis with an applicant on the basis of a memorandum of understanding or share some assets,</w:t>
      </w:r>
    </w:p>
    <w:p w:rsidR="000B5BFC" w:rsidRDefault="00764274" w:rsidP="007C2B43">
      <w:pPr>
        <w:pStyle w:val="Bodytext21"/>
        <w:numPr>
          <w:ilvl w:val="0"/>
          <w:numId w:val="8"/>
        </w:numPr>
        <w:shd w:val="clear" w:color="auto" w:fill="auto"/>
        <w:tabs>
          <w:tab w:val="left" w:pos="758"/>
        </w:tabs>
        <w:spacing w:before="0" w:after="0" w:line="240" w:lineRule="auto"/>
        <w:ind w:left="760" w:hanging="360"/>
      </w:pPr>
      <w:r>
        <w:t xml:space="preserve">Entities that have signed a consortium agreement under the grant contract (unless this consortium agreement leads to the creation of a ‘sole applicant’ as described </w:t>
      </w:r>
      <w:r w:rsidRPr="00FB3718">
        <w:rPr>
          <w:lang w:eastAsia="da-DK" w:bidi="da-DK"/>
        </w:rPr>
        <w:t>above).</w:t>
      </w:r>
    </w:p>
    <w:p w:rsidR="00121A97" w:rsidRDefault="00121A97" w:rsidP="007C2B43">
      <w:pPr>
        <w:pStyle w:val="Bodytext21"/>
        <w:shd w:val="clear" w:color="auto" w:fill="auto"/>
        <w:spacing w:before="0" w:after="0" w:line="240" w:lineRule="auto"/>
        <w:ind w:firstLine="0"/>
        <w:rPr>
          <w:rStyle w:val="Bodytext26"/>
        </w:rPr>
      </w:pPr>
    </w:p>
    <w:p w:rsidR="000B5BFC" w:rsidRDefault="00764274" w:rsidP="007C2B43">
      <w:pPr>
        <w:pStyle w:val="Bodytext21"/>
        <w:shd w:val="clear" w:color="auto" w:fill="auto"/>
        <w:spacing w:before="0" w:after="0" w:line="240" w:lineRule="auto"/>
        <w:ind w:firstLine="0"/>
      </w:pPr>
      <w:r>
        <w:rPr>
          <w:rStyle w:val="Bodytext26"/>
        </w:rPr>
        <w:t>How to verify the existence of the required link with an applicant?</w:t>
      </w:r>
    </w:p>
    <w:p w:rsidR="00121A97" w:rsidRDefault="00121A97"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 xml:space="preserve">The affiliation resulting from </w:t>
      </w:r>
      <w:r w:rsidRPr="00FB3718">
        <w:rPr>
          <w:lang w:eastAsia="da-DK" w:bidi="da-DK"/>
        </w:rPr>
        <w:t xml:space="preserve">control </w:t>
      </w:r>
      <w:r>
        <w:t>may in particular be proved on the basis of the consolidated accounts of the group of entities the applicant and its proposed affiliates belong to.</w:t>
      </w:r>
    </w:p>
    <w:p w:rsidR="000B5BFC" w:rsidRDefault="00764274" w:rsidP="007C2B43">
      <w:pPr>
        <w:pStyle w:val="Bodytext21"/>
        <w:shd w:val="clear" w:color="auto" w:fill="auto"/>
        <w:spacing w:before="0" w:after="0" w:line="240" w:lineRule="auto"/>
        <w:ind w:firstLine="0"/>
      </w:pPr>
      <w:r>
        <w:t xml:space="preserve">The affiliation resulting from membership may in particular be proved on the basis of the </w:t>
      </w:r>
      <w:r w:rsidRPr="00FB3718">
        <w:rPr>
          <w:lang w:eastAsia="da-DK" w:bidi="da-DK"/>
        </w:rPr>
        <w:t xml:space="preserve">statutes </w:t>
      </w:r>
      <w:r>
        <w:t>or equivalent act establishing the entity (network, federation, association) which the applicant constitutes or in which the applicant participates.</w:t>
      </w:r>
    </w:p>
    <w:p w:rsidR="00491C25" w:rsidRDefault="00491C25"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If the applicants are awarded a grant contract, their affiliated entity(</w:t>
      </w:r>
      <w:proofErr w:type="spellStart"/>
      <w:r>
        <w:t>ies</w:t>
      </w:r>
      <w:proofErr w:type="spellEnd"/>
      <w:r>
        <w:t>) will not become beneficiary(</w:t>
      </w:r>
      <w:proofErr w:type="spellStart"/>
      <w:r>
        <w:t>ies</w:t>
      </w:r>
      <w:proofErr w:type="spellEnd"/>
      <w:r>
        <w:t>) of the action and signatory(</w:t>
      </w:r>
      <w:proofErr w:type="spellStart"/>
      <w:r>
        <w:t>ies</w:t>
      </w:r>
      <w:proofErr w:type="spellEnd"/>
      <w:r>
        <w:t xml:space="preserve">) of the grant contract. However, they will participate in the design and in the implementation of the action and the costs they incur (including those incurred </w:t>
      </w:r>
      <w:r w:rsidRPr="00FB3718">
        <w:rPr>
          <w:lang w:eastAsia="da-DK" w:bidi="da-DK"/>
        </w:rPr>
        <w:t xml:space="preserve">for </w:t>
      </w:r>
      <w:r>
        <w:t xml:space="preserve">implementation contracts and financial support to third </w:t>
      </w:r>
      <w:r w:rsidRPr="00FB3718">
        <w:rPr>
          <w:lang w:eastAsia="da-DK" w:bidi="da-DK"/>
        </w:rPr>
        <w:t xml:space="preserve">parties) </w:t>
      </w:r>
      <w:r>
        <w:t>may be accepted as eligible costs, provided they comply with all the relevant rules already applicable to the beneficiary(</w:t>
      </w:r>
      <w:proofErr w:type="spellStart"/>
      <w:r>
        <w:t>ies</w:t>
      </w:r>
      <w:proofErr w:type="spellEnd"/>
      <w:r>
        <w:t>) under the grant contract.</w:t>
      </w:r>
    </w:p>
    <w:p w:rsidR="00354B7E" w:rsidRDefault="00764274" w:rsidP="007C2B43">
      <w:pPr>
        <w:pStyle w:val="Bodytext21"/>
        <w:shd w:val="clear" w:color="auto" w:fill="auto"/>
        <w:spacing w:before="0" w:after="0" w:line="240" w:lineRule="auto"/>
        <w:ind w:firstLine="0"/>
      </w:pPr>
      <w:r>
        <w:t>Affiliated entity(</w:t>
      </w:r>
      <w:proofErr w:type="spellStart"/>
      <w:r>
        <w:t>ies</w:t>
      </w:r>
      <w:proofErr w:type="spellEnd"/>
      <w:r>
        <w:t>) must satisfy the same eligibility criteria as the lead applicant and the co-applicant(s). They must sign the affiliated entity(</w:t>
      </w:r>
      <w:proofErr w:type="spellStart"/>
      <w:r>
        <w:t>ies</w:t>
      </w:r>
      <w:proofErr w:type="spellEnd"/>
      <w:r>
        <w:t>) statement in Part B Section 5 of the grant application form.</w:t>
      </w:r>
    </w:p>
    <w:p w:rsidR="00491C25" w:rsidRPr="00493748" w:rsidRDefault="00493748" w:rsidP="009763AA">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21" w:name="_Toc5010052"/>
      <w:r>
        <w:rPr>
          <w:rFonts w:ascii="Times New Roman" w:hAnsi="Times New Roman" w:cs="Times New Roman"/>
          <w:i/>
          <w:color w:val="auto"/>
        </w:rPr>
        <w:lastRenderedPageBreak/>
        <w:t xml:space="preserve">2.1.3. </w:t>
      </w:r>
      <w:r w:rsidR="00491C25" w:rsidRPr="00493748">
        <w:rPr>
          <w:rFonts w:ascii="Times New Roman" w:hAnsi="Times New Roman" w:cs="Times New Roman"/>
          <w:i/>
          <w:color w:val="auto"/>
        </w:rPr>
        <w:t>Associates and contractors</w:t>
      </w:r>
      <w:bookmarkEnd w:id="21"/>
    </w:p>
    <w:p w:rsidR="00354B7E" w:rsidRDefault="00354B7E" w:rsidP="007C2B43">
      <w:pPr>
        <w:pStyle w:val="Bodytext21"/>
        <w:shd w:val="clear" w:color="auto" w:fill="auto"/>
        <w:spacing w:before="0" w:after="0" w:line="240" w:lineRule="auto"/>
        <w:ind w:firstLine="0"/>
      </w:pPr>
    </w:p>
    <w:p w:rsidR="00491C25" w:rsidRDefault="00491C25" w:rsidP="007C2B43">
      <w:pPr>
        <w:pStyle w:val="Bodytext21"/>
        <w:shd w:val="clear" w:color="auto" w:fill="auto"/>
        <w:spacing w:before="0" w:after="0" w:line="240" w:lineRule="auto"/>
        <w:ind w:firstLine="0"/>
      </w:pPr>
      <w:r>
        <w:t>The following are not applicants or affiliated entities and do not have to sign the ‘mandate for co-applicants(s)’ or ‘affiliated entities’ statement:</w:t>
      </w:r>
    </w:p>
    <w:p w:rsidR="00491C25" w:rsidRDefault="00491C25" w:rsidP="007C2B43">
      <w:pPr>
        <w:pStyle w:val="Bodytext21"/>
        <w:numPr>
          <w:ilvl w:val="0"/>
          <w:numId w:val="18"/>
        </w:numPr>
        <w:shd w:val="clear" w:color="auto" w:fill="auto"/>
        <w:spacing w:before="0" w:after="0" w:line="240" w:lineRule="auto"/>
      </w:pPr>
      <w:r>
        <w:t>Associates</w:t>
      </w:r>
      <w:r w:rsidR="00354B7E">
        <w:t>.</w:t>
      </w:r>
    </w:p>
    <w:p w:rsidR="000B5BFC" w:rsidRDefault="00764274" w:rsidP="007C2B43">
      <w:pPr>
        <w:pStyle w:val="Bodytext21"/>
        <w:shd w:val="clear" w:color="auto" w:fill="auto"/>
        <w:spacing w:before="0" w:after="0" w:line="240" w:lineRule="auto"/>
        <w:ind w:firstLine="0"/>
      </w:pPr>
      <w:r>
        <w:t>Other organisations or individuals may be involved in the action. Such associates play a real role in the action but may not receive funding from the grant, with the exception of per diem or travel costs. Associates do not have to meet the eligibility criteria referred to in Section 2.1.1. Associates must be mentioned in Part B Section 6 — ‘Associates participating in the action’ — of the grant application form.</w:t>
      </w:r>
    </w:p>
    <w:p w:rsidR="000B5BFC" w:rsidRDefault="00764274" w:rsidP="007C2B43">
      <w:pPr>
        <w:pStyle w:val="Bodytext21"/>
        <w:shd w:val="clear" w:color="auto" w:fill="auto"/>
        <w:spacing w:before="0" w:after="0" w:line="240" w:lineRule="auto"/>
        <w:ind w:left="800" w:hanging="360"/>
        <w:jc w:val="left"/>
      </w:pPr>
      <w:r>
        <w:t>• Contractors</w:t>
      </w:r>
    </w:p>
    <w:p w:rsidR="000B5BFC" w:rsidRDefault="00764274" w:rsidP="007C2B43">
      <w:pPr>
        <w:pStyle w:val="Bodytext21"/>
        <w:shd w:val="clear" w:color="auto" w:fill="auto"/>
        <w:spacing w:before="0" w:after="0" w:line="240" w:lineRule="auto"/>
        <w:ind w:firstLine="0"/>
      </w:pPr>
      <w:r>
        <w:t>The beneficiaries and their affiliated entities are permitted to award contracts. Associates or affiliated entity(</w:t>
      </w:r>
      <w:proofErr w:type="spellStart"/>
      <w:r>
        <w:t>ies</w:t>
      </w:r>
      <w:proofErr w:type="spellEnd"/>
      <w:r>
        <w:t>) cannot be also contractors in the project. Contractors are subject to the procurement rules set out in Annex IV to the standard grant contract.</w:t>
      </w:r>
    </w:p>
    <w:p w:rsidR="000B5BFC" w:rsidRPr="0004548A" w:rsidRDefault="0004548A" w:rsidP="009763AA">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22" w:name="bookmark16"/>
      <w:bookmarkStart w:id="23" w:name="_Toc5010053"/>
      <w:bookmarkStart w:id="24" w:name="_Hlk536179590"/>
      <w:r>
        <w:rPr>
          <w:rFonts w:ascii="Times New Roman" w:hAnsi="Times New Roman" w:cs="Times New Roman"/>
          <w:i/>
          <w:color w:val="auto"/>
        </w:rPr>
        <w:t xml:space="preserve">2.1.4. </w:t>
      </w:r>
      <w:r w:rsidR="00764274" w:rsidRPr="0004548A">
        <w:rPr>
          <w:rFonts w:ascii="Times New Roman" w:hAnsi="Times New Roman" w:cs="Times New Roman"/>
          <w:i/>
          <w:color w:val="auto"/>
        </w:rPr>
        <w:t>Eligible actions: actions for which an application may be made</w:t>
      </w:r>
      <w:bookmarkEnd w:id="22"/>
      <w:bookmarkEnd w:id="23"/>
    </w:p>
    <w:bookmarkEnd w:id="24"/>
    <w:p w:rsidR="00354B7E" w:rsidRDefault="00354B7E" w:rsidP="007C2B43">
      <w:pPr>
        <w:pStyle w:val="Bodytext21"/>
        <w:shd w:val="clear" w:color="auto" w:fill="auto"/>
        <w:spacing w:before="0" w:after="0" w:line="240" w:lineRule="auto"/>
        <w:ind w:firstLine="0"/>
        <w:rPr>
          <w:b/>
        </w:rPr>
      </w:pPr>
    </w:p>
    <w:p w:rsidR="000B5BFC" w:rsidRPr="00723D8E" w:rsidRDefault="00764274" w:rsidP="007C2B43">
      <w:pPr>
        <w:pStyle w:val="Bodytext21"/>
        <w:shd w:val="clear" w:color="auto" w:fill="auto"/>
        <w:spacing w:before="0" w:after="0" w:line="240" w:lineRule="auto"/>
        <w:ind w:firstLine="0"/>
        <w:rPr>
          <w:b/>
        </w:rPr>
      </w:pPr>
      <w:r w:rsidRPr="00723D8E">
        <w:rPr>
          <w:b/>
        </w:rPr>
        <w:t>Definition:</w:t>
      </w:r>
    </w:p>
    <w:p w:rsidR="001B7AD8" w:rsidRDefault="00764274" w:rsidP="007C2B43">
      <w:pPr>
        <w:pStyle w:val="Bodytext21"/>
        <w:shd w:val="clear" w:color="auto" w:fill="auto"/>
        <w:spacing w:before="0" w:after="0" w:line="240" w:lineRule="auto"/>
        <w:ind w:right="-174" w:firstLine="0"/>
      </w:pPr>
      <w:r w:rsidRPr="001B7AD8">
        <w:t>An action is composed of a set of</w:t>
      </w:r>
      <w:r w:rsidR="001B7AD8">
        <w:t xml:space="preserve"> a</w:t>
      </w:r>
      <w:r w:rsidRPr="001B7AD8">
        <w:t>ctivities.</w:t>
      </w:r>
    </w:p>
    <w:p w:rsidR="000B5BFC" w:rsidRDefault="00764274" w:rsidP="007C2B43">
      <w:pPr>
        <w:pStyle w:val="Bodytext21"/>
        <w:shd w:val="clear" w:color="auto" w:fill="auto"/>
        <w:spacing w:before="0" w:after="0" w:line="240" w:lineRule="auto"/>
        <w:ind w:right="-174" w:firstLine="0"/>
      </w:pPr>
      <w:r w:rsidRPr="00FB3718">
        <w:rPr>
          <w:b/>
          <w:lang w:eastAsia="da-DK" w:bidi="da-DK"/>
        </w:rPr>
        <w:t>Duration</w:t>
      </w:r>
      <w:r w:rsidR="00723D8E" w:rsidRPr="00FB3718">
        <w:rPr>
          <w:b/>
          <w:lang w:eastAsia="da-DK" w:bidi="da-DK"/>
        </w:rPr>
        <w:t>:</w:t>
      </w:r>
    </w:p>
    <w:p w:rsidR="00723D8E" w:rsidRPr="00827BC0" w:rsidRDefault="00764274" w:rsidP="007C2B43">
      <w:pPr>
        <w:pStyle w:val="Bodytext21"/>
        <w:shd w:val="clear" w:color="auto" w:fill="auto"/>
        <w:spacing w:before="0" w:after="0" w:line="240" w:lineRule="auto"/>
        <w:ind w:firstLine="0"/>
        <w:rPr>
          <w:color w:val="FF0000"/>
        </w:rPr>
      </w:pPr>
      <w:r>
        <w:t xml:space="preserve">The initial planned duration of an action may not be lower than </w:t>
      </w:r>
      <w:r w:rsidR="00723D8E" w:rsidRPr="00723D8E">
        <w:rPr>
          <w:b/>
        </w:rPr>
        <w:t>24</w:t>
      </w:r>
      <w:r w:rsidRPr="00723D8E">
        <w:rPr>
          <w:b/>
        </w:rPr>
        <w:t xml:space="preserve"> months</w:t>
      </w:r>
      <w:r>
        <w:t xml:space="preserve"> nor exceed </w:t>
      </w:r>
      <w:r w:rsidR="00723D8E" w:rsidRPr="00723D8E">
        <w:rPr>
          <w:b/>
        </w:rPr>
        <w:t>36</w:t>
      </w:r>
      <w:r w:rsidRPr="00723D8E">
        <w:rPr>
          <w:b/>
        </w:rPr>
        <w:t xml:space="preserve"> months</w:t>
      </w:r>
      <w:r>
        <w:t xml:space="preserve">. </w:t>
      </w:r>
    </w:p>
    <w:p w:rsidR="000B5BFC" w:rsidRDefault="00764274" w:rsidP="007C2B43">
      <w:pPr>
        <w:pStyle w:val="Bodytext21"/>
        <w:shd w:val="clear" w:color="auto" w:fill="auto"/>
        <w:spacing w:before="0" w:after="0" w:line="240" w:lineRule="auto"/>
        <w:ind w:firstLine="0"/>
        <w:rPr>
          <w:b/>
        </w:rPr>
      </w:pPr>
      <w:r w:rsidRPr="00723D8E">
        <w:rPr>
          <w:b/>
        </w:rPr>
        <w:t>Sectors or themes</w:t>
      </w:r>
      <w:r w:rsidR="00723D8E" w:rsidRPr="00723D8E">
        <w:rPr>
          <w:b/>
        </w:rPr>
        <w:t>:</w:t>
      </w:r>
    </w:p>
    <w:p w:rsidR="000E62D1" w:rsidRPr="000E62D1" w:rsidRDefault="000E62D1" w:rsidP="007C2B43">
      <w:pPr>
        <w:pStyle w:val="NoSpacing"/>
        <w:jc w:val="both"/>
        <w:rPr>
          <w:b/>
          <w:color w:val="auto"/>
          <w:sz w:val="22"/>
          <w:szCs w:val="22"/>
        </w:rPr>
      </w:pPr>
      <w:r w:rsidRPr="000E62D1">
        <w:rPr>
          <w:sz w:val="22"/>
          <w:szCs w:val="22"/>
        </w:rPr>
        <w:t xml:space="preserve">The themes covered under this call relate to those addressed under </w:t>
      </w:r>
      <w:r w:rsidRPr="000E62D1">
        <w:rPr>
          <w:b/>
          <w:sz w:val="22"/>
          <w:szCs w:val="22"/>
        </w:rPr>
        <w:t>SDG 16</w:t>
      </w:r>
      <w:r w:rsidRPr="000E62D1">
        <w:rPr>
          <w:sz w:val="22"/>
          <w:szCs w:val="22"/>
        </w:rPr>
        <w:t xml:space="preserve"> (</w:t>
      </w:r>
      <w:r w:rsidR="0094368D" w:rsidRPr="000E62D1">
        <w:rPr>
          <w:sz w:val="22"/>
          <w:szCs w:val="22"/>
        </w:rPr>
        <w:t>Promote peaceful and inclusive societies for sustainable development, provide access to justice for all and build effective, accountable and inclusive institutions at all levels</w:t>
      </w:r>
      <w:r w:rsidRPr="000E62D1">
        <w:rPr>
          <w:sz w:val="22"/>
          <w:szCs w:val="22"/>
        </w:rPr>
        <w:t xml:space="preserve">); </w:t>
      </w:r>
      <w:r w:rsidRPr="003B6161">
        <w:rPr>
          <w:b/>
          <w:sz w:val="22"/>
          <w:szCs w:val="22"/>
        </w:rPr>
        <w:t>SDG 10</w:t>
      </w:r>
      <w:r w:rsidRPr="000E62D1">
        <w:rPr>
          <w:sz w:val="22"/>
          <w:szCs w:val="22"/>
        </w:rPr>
        <w:t xml:space="preserve"> (Reduce inequality within and among countries); and </w:t>
      </w:r>
      <w:r w:rsidRPr="003B6161">
        <w:rPr>
          <w:b/>
          <w:sz w:val="22"/>
          <w:szCs w:val="22"/>
        </w:rPr>
        <w:t>SDG 5</w:t>
      </w:r>
      <w:r w:rsidR="00505F1A">
        <w:rPr>
          <w:b/>
          <w:sz w:val="22"/>
          <w:szCs w:val="22"/>
        </w:rPr>
        <w:t xml:space="preserve"> </w:t>
      </w:r>
      <w:r w:rsidRPr="000E62D1">
        <w:rPr>
          <w:sz w:val="22"/>
          <w:szCs w:val="22"/>
        </w:rPr>
        <w:t>(A</w:t>
      </w:r>
      <w:r w:rsidRPr="000E62D1">
        <w:rPr>
          <w:color w:val="auto"/>
          <w:sz w:val="22"/>
          <w:szCs w:val="22"/>
        </w:rPr>
        <w:t>chieve gender equality and empower all women and girls).</w:t>
      </w:r>
    </w:p>
    <w:p w:rsidR="00233D22" w:rsidRDefault="00084DEA" w:rsidP="007C2B43">
      <w:pPr>
        <w:widowControl/>
        <w:spacing w:before="120" w:after="200"/>
        <w:jc w:val="both"/>
        <w:rPr>
          <w:color w:val="auto"/>
          <w:sz w:val="22"/>
          <w:szCs w:val="22"/>
        </w:rPr>
      </w:pPr>
      <w:r w:rsidRPr="000E62D1">
        <w:rPr>
          <w:color w:val="auto"/>
          <w:sz w:val="22"/>
          <w:szCs w:val="22"/>
        </w:rPr>
        <w:t>Actions</w:t>
      </w:r>
      <w:r w:rsidR="000E62D1">
        <w:rPr>
          <w:color w:val="auto"/>
          <w:sz w:val="22"/>
          <w:szCs w:val="22"/>
        </w:rPr>
        <w:t xml:space="preserve"> should </w:t>
      </w:r>
      <w:r w:rsidRPr="000E62D1">
        <w:rPr>
          <w:color w:val="auto"/>
          <w:sz w:val="22"/>
          <w:szCs w:val="22"/>
        </w:rPr>
        <w:t xml:space="preserve">relate to the themes that underpin </w:t>
      </w:r>
      <w:r w:rsidR="00233D22">
        <w:rPr>
          <w:color w:val="auto"/>
          <w:sz w:val="22"/>
          <w:szCs w:val="22"/>
        </w:rPr>
        <w:t>e</w:t>
      </w:r>
      <w:r w:rsidR="007356FC">
        <w:rPr>
          <w:color w:val="auto"/>
          <w:sz w:val="22"/>
          <w:szCs w:val="22"/>
        </w:rPr>
        <w:t xml:space="preserve">ach of the lots </w:t>
      </w:r>
      <w:r w:rsidR="00233D22">
        <w:rPr>
          <w:color w:val="auto"/>
          <w:sz w:val="22"/>
          <w:szCs w:val="22"/>
        </w:rPr>
        <w:t>described in section 1.3 as follows:</w:t>
      </w:r>
    </w:p>
    <w:p w:rsidR="00233D22" w:rsidRDefault="00233D22" w:rsidP="007C2B43">
      <w:pPr>
        <w:widowControl/>
        <w:jc w:val="both"/>
        <w:rPr>
          <w:color w:val="auto"/>
          <w:sz w:val="22"/>
          <w:szCs w:val="22"/>
        </w:rPr>
      </w:pPr>
      <w:r w:rsidRPr="0058437A">
        <w:rPr>
          <w:b/>
          <w:color w:val="auto"/>
          <w:sz w:val="22"/>
          <w:szCs w:val="22"/>
        </w:rPr>
        <w:t>Under lot 1 (Democratic Governance and Rule of Law)</w:t>
      </w:r>
      <w:r>
        <w:rPr>
          <w:color w:val="auto"/>
          <w:sz w:val="22"/>
          <w:szCs w:val="22"/>
        </w:rPr>
        <w:t>, there are five themes that may be addressed by proposed actions:</w:t>
      </w:r>
    </w:p>
    <w:p w:rsidR="00DD0985" w:rsidRDefault="00DD0985" w:rsidP="007C2B43">
      <w:pPr>
        <w:widowControl/>
        <w:jc w:val="both"/>
        <w:rPr>
          <w:color w:val="auto"/>
          <w:sz w:val="22"/>
          <w:szCs w:val="22"/>
        </w:rPr>
      </w:pPr>
    </w:p>
    <w:p w:rsidR="00233D22" w:rsidRDefault="002D2401" w:rsidP="007C2B43">
      <w:pPr>
        <w:pStyle w:val="ListParagraph"/>
        <w:widowControl/>
        <w:numPr>
          <w:ilvl w:val="0"/>
          <w:numId w:val="29"/>
        </w:numPr>
        <w:jc w:val="both"/>
        <w:rPr>
          <w:color w:val="auto"/>
          <w:sz w:val="22"/>
          <w:szCs w:val="22"/>
        </w:rPr>
      </w:pPr>
      <w:r w:rsidRPr="002D2401">
        <w:rPr>
          <w:b/>
          <w:color w:val="auto"/>
          <w:sz w:val="22"/>
          <w:szCs w:val="22"/>
        </w:rPr>
        <w:t>Oversight of local and national policies, budgets and legal frameworks:</w:t>
      </w:r>
      <w:r>
        <w:rPr>
          <w:color w:val="auto"/>
          <w:sz w:val="22"/>
          <w:szCs w:val="22"/>
        </w:rPr>
        <w:t xml:space="preserve"> </w:t>
      </w:r>
      <w:r w:rsidR="00B75BB3">
        <w:rPr>
          <w:color w:val="auto"/>
          <w:sz w:val="22"/>
          <w:szCs w:val="22"/>
        </w:rPr>
        <w:t>Th</w:t>
      </w:r>
      <w:r>
        <w:rPr>
          <w:color w:val="auto"/>
          <w:sz w:val="22"/>
          <w:szCs w:val="22"/>
        </w:rPr>
        <w:t xml:space="preserve">is theme </w:t>
      </w:r>
      <w:r w:rsidR="00B75BB3">
        <w:rPr>
          <w:color w:val="auto"/>
          <w:sz w:val="22"/>
          <w:szCs w:val="22"/>
        </w:rPr>
        <w:t>is linked to provision of the necessary capacity and tools for CSOs and citizens to engage in evidence-based policy dialogue, formulation, analysis and monitoring, thereby increasing accountability and enabling the emergence of policies, laws and interventions that promote greater equality in society.</w:t>
      </w:r>
    </w:p>
    <w:p w:rsidR="00EB2395" w:rsidRDefault="00EB2395" w:rsidP="007C2B43">
      <w:pPr>
        <w:pStyle w:val="ListParagraph"/>
        <w:widowControl/>
        <w:jc w:val="both"/>
        <w:rPr>
          <w:color w:val="auto"/>
          <w:sz w:val="22"/>
          <w:szCs w:val="22"/>
        </w:rPr>
      </w:pPr>
    </w:p>
    <w:p w:rsidR="00C6753F" w:rsidRDefault="002D2401" w:rsidP="007C2B43">
      <w:pPr>
        <w:pStyle w:val="ListParagraph"/>
        <w:widowControl/>
        <w:numPr>
          <w:ilvl w:val="0"/>
          <w:numId w:val="29"/>
        </w:numPr>
        <w:jc w:val="both"/>
        <w:rPr>
          <w:color w:val="auto"/>
          <w:sz w:val="22"/>
          <w:szCs w:val="22"/>
        </w:rPr>
      </w:pPr>
      <w:r w:rsidRPr="002D2401">
        <w:rPr>
          <w:b/>
          <w:color w:val="auto"/>
          <w:sz w:val="22"/>
          <w:szCs w:val="22"/>
        </w:rPr>
        <w:t>Promotion and defence of human rights:</w:t>
      </w:r>
      <w:r>
        <w:rPr>
          <w:color w:val="auto"/>
          <w:sz w:val="22"/>
          <w:szCs w:val="22"/>
        </w:rPr>
        <w:t xml:space="preserve"> This </w:t>
      </w:r>
      <w:r w:rsidR="00EB2395">
        <w:rPr>
          <w:color w:val="auto"/>
          <w:sz w:val="22"/>
          <w:szCs w:val="22"/>
        </w:rPr>
        <w:t>theme targets the promotion and defence of human rights</w:t>
      </w:r>
      <w:r w:rsidR="00C6753F">
        <w:rPr>
          <w:color w:val="auto"/>
          <w:sz w:val="22"/>
          <w:szCs w:val="22"/>
        </w:rPr>
        <w:t xml:space="preserve"> and fundamental freedoms, especially of those most vulnerable to violations, and the monitoring, analytical, research and advocacy skills and activities needed to address such issues.</w:t>
      </w:r>
    </w:p>
    <w:p w:rsidR="00354B7E" w:rsidRPr="00354B7E" w:rsidRDefault="00354B7E" w:rsidP="009763AA">
      <w:pPr>
        <w:pStyle w:val="ListParagraph"/>
        <w:rPr>
          <w:color w:val="auto"/>
          <w:sz w:val="22"/>
          <w:szCs w:val="22"/>
        </w:rPr>
      </w:pPr>
    </w:p>
    <w:p w:rsidR="00EB2395" w:rsidRDefault="002D2401" w:rsidP="007C2B43">
      <w:pPr>
        <w:pStyle w:val="ListParagraph"/>
        <w:widowControl/>
        <w:numPr>
          <w:ilvl w:val="0"/>
          <w:numId w:val="29"/>
        </w:numPr>
        <w:jc w:val="both"/>
        <w:rPr>
          <w:color w:val="auto"/>
          <w:sz w:val="22"/>
          <w:szCs w:val="22"/>
        </w:rPr>
      </w:pPr>
      <w:r w:rsidRPr="00DD0985">
        <w:rPr>
          <w:b/>
          <w:color w:val="auto"/>
          <w:sz w:val="22"/>
          <w:szCs w:val="22"/>
        </w:rPr>
        <w:t>Land Ownership &amp; access to and control over land</w:t>
      </w:r>
      <w:r w:rsidR="00DD0985" w:rsidRPr="00DD0985">
        <w:rPr>
          <w:b/>
          <w:color w:val="auto"/>
          <w:sz w:val="22"/>
          <w:szCs w:val="22"/>
        </w:rPr>
        <w:t>:</w:t>
      </w:r>
      <w:r w:rsidR="00DD0985">
        <w:rPr>
          <w:color w:val="auto"/>
          <w:sz w:val="22"/>
          <w:szCs w:val="22"/>
        </w:rPr>
        <w:t xml:space="preserve"> </w:t>
      </w:r>
      <w:r w:rsidR="00C6753F">
        <w:rPr>
          <w:color w:val="auto"/>
          <w:sz w:val="22"/>
          <w:szCs w:val="22"/>
        </w:rPr>
        <w:t>Th</w:t>
      </w:r>
      <w:r>
        <w:rPr>
          <w:color w:val="auto"/>
          <w:sz w:val="22"/>
          <w:szCs w:val="22"/>
        </w:rPr>
        <w:t xml:space="preserve">is </w:t>
      </w:r>
      <w:r w:rsidR="00C6753F">
        <w:rPr>
          <w:color w:val="auto"/>
          <w:sz w:val="22"/>
          <w:szCs w:val="22"/>
        </w:rPr>
        <w:t>theme deals with land ownership, and in particular the mechanisms needed to address restrictive access to land, especially on the part of women.</w:t>
      </w:r>
    </w:p>
    <w:p w:rsidR="00BA5E2D" w:rsidRPr="00BA5E2D" w:rsidRDefault="00BA5E2D" w:rsidP="009763AA">
      <w:pPr>
        <w:pStyle w:val="ListParagraph"/>
        <w:rPr>
          <w:color w:val="auto"/>
          <w:sz w:val="22"/>
          <w:szCs w:val="22"/>
        </w:rPr>
      </w:pPr>
    </w:p>
    <w:p w:rsidR="004852C2" w:rsidRDefault="00DD0985" w:rsidP="007C2B43">
      <w:pPr>
        <w:pStyle w:val="NoSpacing"/>
        <w:numPr>
          <w:ilvl w:val="0"/>
          <w:numId w:val="29"/>
        </w:numPr>
        <w:jc w:val="both"/>
        <w:rPr>
          <w:sz w:val="22"/>
          <w:szCs w:val="22"/>
        </w:rPr>
      </w:pPr>
      <w:r w:rsidRPr="00DD0985">
        <w:rPr>
          <w:b/>
          <w:color w:val="auto"/>
          <w:sz w:val="22"/>
          <w:szCs w:val="22"/>
        </w:rPr>
        <w:t>Nation-building and peaceful co-existence:</w:t>
      </w:r>
      <w:r>
        <w:rPr>
          <w:color w:val="auto"/>
          <w:sz w:val="22"/>
          <w:szCs w:val="22"/>
        </w:rPr>
        <w:t xml:space="preserve"> </w:t>
      </w:r>
      <w:r w:rsidR="005F64CD" w:rsidRPr="0058437A">
        <w:rPr>
          <w:color w:val="auto"/>
          <w:sz w:val="22"/>
          <w:szCs w:val="22"/>
        </w:rPr>
        <w:t>T</w:t>
      </w:r>
      <w:r w:rsidR="00C6753F" w:rsidRPr="0058437A">
        <w:rPr>
          <w:color w:val="auto"/>
          <w:sz w:val="22"/>
          <w:szCs w:val="22"/>
        </w:rPr>
        <w:t>h</w:t>
      </w:r>
      <w:r>
        <w:rPr>
          <w:color w:val="auto"/>
          <w:sz w:val="22"/>
          <w:szCs w:val="22"/>
        </w:rPr>
        <w:t xml:space="preserve">is </w:t>
      </w:r>
      <w:r w:rsidR="00C6753F" w:rsidRPr="0058437A">
        <w:rPr>
          <w:color w:val="auto"/>
          <w:sz w:val="22"/>
          <w:szCs w:val="22"/>
        </w:rPr>
        <w:t xml:space="preserve">theme </w:t>
      </w:r>
      <w:r w:rsidR="005F64CD" w:rsidRPr="0058437A">
        <w:rPr>
          <w:sz w:val="22"/>
          <w:szCs w:val="22"/>
        </w:rPr>
        <w:t xml:space="preserve">relates to the reinforcement of ongoing reforms and nation-building processes, </w:t>
      </w:r>
      <w:r w:rsidR="006D7475">
        <w:rPr>
          <w:sz w:val="22"/>
          <w:szCs w:val="22"/>
        </w:rPr>
        <w:t xml:space="preserve">and the </w:t>
      </w:r>
      <w:r w:rsidR="005F64CD" w:rsidRPr="0058437A">
        <w:rPr>
          <w:sz w:val="22"/>
          <w:szCs w:val="22"/>
        </w:rPr>
        <w:t>cultivati</w:t>
      </w:r>
      <w:r w:rsidR="006D7475">
        <w:rPr>
          <w:sz w:val="22"/>
          <w:szCs w:val="22"/>
        </w:rPr>
        <w:t>on of peace</w:t>
      </w:r>
      <w:r w:rsidR="005F64CD" w:rsidRPr="0058437A">
        <w:rPr>
          <w:sz w:val="22"/>
          <w:szCs w:val="22"/>
        </w:rPr>
        <w:t xml:space="preserve">ful co-existence amongst the country’s ethnically diverse and youthful population. </w:t>
      </w:r>
      <w:r w:rsidR="004852C2" w:rsidRPr="0058437A">
        <w:rPr>
          <w:sz w:val="22"/>
          <w:szCs w:val="22"/>
        </w:rPr>
        <w:t xml:space="preserve">Although the focus should be on the creation of on-the-ground conditions that support peace, especially in border areas prone to inter-ethnic conflict, interventions should also contribute to initiatives at national level, and improve relations between the Government and the various peoples of Ethiopia. </w:t>
      </w:r>
    </w:p>
    <w:p w:rsidR="0007052A" w:rsidRPr="0058437A" w:rsidRDefault="0007052A" w:rsidP="007C2B43">
      <w:pPr>
        <w:pStyle w:val="NoSpacing"/>
        <w:ind w:left="720"/>
        <w:jc w:val="both"/>
        <w:rPr>
          <w:sz w:val="22"/>
          <w:szCs w:val="22"/>
        </w:rPr>
      </w:pPr>
    </w:p>
    <w:p w:rsidR="005F64CD" w:rsidRDefault="005F64CD" w:rsidP="007C2B43">
      <w:pPr>
        <w:widowControl/>
        <w:jc w:val="both"/>
        <w:rPr>
          <w:color w:val="auto"/>
          <w:sz w:val="22"/>
          <w:szCs w:val="22"/>
        </w:rPr>
      </w:pPr>
      <w:r w:rsidRPr="0058437A">
        <w:rPr>
          <w:b/>
          <w:color w:val="auto"/>
          <w:sz w:val="22"/>
          <w:szCs w:val="22"/>
        </w:rPr>
        <w:t>Under lot 2 (Service Delivery</w:t>
      </w:r>
      <w:r w:rsidR="00415AF1">
        <w:rPr>
          <w:b/>
          <w:color w:val="auto"/>
          <w:sz w:val="22"/>
          <w:szCs w:val="22"/>
        </w:rPr>
        <w:t xml:space="preserve"> and Community Engagement</w:t>
      </w:r>
      <w:r w:rsidRPr="0058437A">
        <w:rPr>
          <w:b/>
          <w:color w:val="auto"/>
          <w:sz w:val="22"/>
          <w:szCs w:val="22"/>
        </w:rPr>
        <w:t>)</w:t>
      </w:r>
      <w:r>
        <w:rPr>
          <w:color w:val="auto"/>
          <w:sz w:val="22"/>
          <w:szCs w:val="22"/>
        </w:rPr>
        <w:t>, there are four themes that may be addressed by proposed actions:</w:t>
      </w:r>
    </w:p>
    <w:p w:rsidR="00DD0985" w:rsidRDefault="00DD0985" w:rsidP="007C2B43">
      <w:pPr>
        <w:widowControl/>
        <w:jc w:val="both"/>
        <w:rPr>
          <w:color w:val="auto"/>
          <w:sz w:val="22"/>
          <w:szCs w:val="22"/>
        </w:rPr>
      </w:pPr>
    </w:p>
    <w:p w:rsidR="005643B5" w:rsidRPr="00DD0985" w:rsidRDefault="00DD0985" w:rsidP="007C2B43">
      <w:pPr>
        <w:pStyle w:val="ListParagraph"/>
        <w:widowControl/>
        <w:numPr>
          <w:ilvl w:val="0"/>
          <w:numId w:val="30"/>
        </w:numPr>
        <w:jc w:val="both"/>
        <w:rPr>
          <w:color w:val="auto"/>
          <w:sz w:val="22"/>
          <w:szCs w:val="22"/>
        </w:rPr>
      </w:pPr>
      <w:r w:rsidRPr="00DD0985">
        <w:rPr>
          <w:b/>
          <w:color w:val="auto"/>
          <w:sz w:val="22"/>
          <w:szCs w:val="22"/>
        </w:rPr>
        <w:lastRenderedPageBreak/>
        <w:t>Access to justice:</w:t>
      </w:r>
      <w:r w:rsidRPr="00DD0985">
        <w:rPr>
          <w:color w:val="auto"/>
          <w:sz w:val="22"/>
          <w:szCs w:val="22"/>
        </w:rPr>
        <w:t xml:space="preserve"> </w:t>
      </w:r>
      <w:r w:rsidR="00F27D61" w:rsidRPr="00DD0985">
        <w:rPr>
          <w:color w:val="auto"/>
          <w:sz w:val="22"/>
          <w:szCs w:val="22"/>
        </w:rPr>
        <w:t>Th</w:t>
      </w:r>
      <w:r>
        <w:rPr>
          <w:color w:val="auto"/>
          <w:sz w:val="22"/>
          <w:szCs w:val="22"/>
        </w:rPr>
        <w:t xml:space="preserve">is </w:t>
      </w:r>
      <w:r w:rsidR="00F27D61" w:rsidRPr="00DD0985">
        <w:rPr>
          <w:color w:val="auto"/>
          <w:sz w:val="22"/>
          <w:szCs w:val="22"/>
        </w:rPr>
        <w:t>theme invites proposals that increase access to justice, especially for those who cannot afford legal representation or have been victims of discrimination or torture</w:t>
      </w:r>
      <w:r w:rsidR="006D7475" w:rsidRPr="00DD0985">
        <w:rPr>
          <w:color w:val="auto"/>
          <w:sz w:val="22"/>
          <w:szCs w:val="22"/>
        </w:rPr>
        <w:t>, and/or enhance justice systems</w:t>
      </w:r>
      <w:r w:rsidR="00F27D61" w:rsidRPr="00DD0985">
        <w:rPr>
          <w:color w:val="auto"/>
          <w:sz w:val="22"/>
          <w:szCs w:val="22"/>
        </w:rPr>
        <w:t>.</w:t>
      </w:r>
    </w:p>
    <w:p w:rsidR="006D7475" w:rsidRDefault="006D7475" w:rsidP="007C2B43">
      <w:pPr>
        <w:pStyle w:val="ListParagraph"/>
        <w:widowControl/>
        <w:jc w:val="both"/>
        <w:rPr>
          <w:color w:val="auto"/>
          <w:sz w:val="22"/>
          <w:szCs w:val="22"/>
        </w:rPr>
      </w:pPr>
    </w:p>
    <w:p w:rsidR="00F27D61" w:rsidRPr="00DD0985" w:rsidRDefault="00DD0985" w:rsidP="007C2B43">
      <w:pPr>
        <w:pStyle w:val="ListParagraph"/>
        <w:widowControl/>
        <w:numPr>
          <w:ilvl w:val="0"/>
          <w:numId w:val="30"/>
        </w:numPr>
        <w:jc w:val="both"/>
        <w:rPr>
          <w:color w:val="auto"/>
          <w:sz w:val="22"/>
          <w:szCs w:val="22"/>
        </w:rPr>
      </w:pPr>
      <w:r w:rsidRPr="00DD0985">
        <w:rPr>
          <w:b/>
          <w:color w:val="auto"/>
          <w:sz w:val="22"/>
          <w:szCs w:val="22"/>
        </w:rPr>
        <w:t>Environment and natural resources:</w:t>
      </w:r>
      <w:r w:rsidRPr="00DD0985">
        <w:rPr>
          <w:color w:val="auto"/>
          <w:sz w:val="22"/>
          <w:szCs w:val="22"/>
        </w:rPr>
        <w:t xml:space="preserve"> </w:t>
      </w:r>
      <w:r w:rsidR="00F27D61" w:rsidRPr="00DD0985">
        <w:rPr>
          <w:color w:val="auto"/>
          <w:sz w:val="22"/>
          <w:szCs w:val="22"/>
        </w:rPr>
        <w:t>Th</w:t>
      </w:r>
      <w:r>
        <w:rPr>
          <w:color w:val="auto"/>
          <w:sz w:val="22"/>
          <w:szCs w:val="22"/>
        </w:rPr>
        <w:t xml:space="preserve">is </w:t>
      </w:r>
      <w:r w:rsidR="00F27D61" w:rsidRPr="00DD0985">
        <w:rPr>
          <w:color w:val="auto"/>
          <w:sz w:val="22"/>
          <w:szCs w:val="22"/>
        </w:rPr>
        <w:t xml:space="preserve">theme relates to the environment and access to, and control of resources, especially </w:t>
      </w:r>
      <w:r w:rsidR="007933B2" w:rsidRPr="00DD0985">
        <w:rPr>
          <w:color w:val="auto"/>
          <w:sz w:val="22"/>
          <w:szCs w:val="22"/>
        </w:rPr>
        <w:t>from governance</w:t>
      </w:r>
      <w:r w:rsidR="00F27D61" w:rsidRPr="00DD0985">
        <w:rPr>
          <w:color w:val="auto"/>
          <w:sz w:val="22"/>
          <w:szCs w:val="22"/>
        </w:rPr>
        <w:t xml:space="preserve"> and rights perspectives</w:t>
      </w:r>
      <w:r w:rsidR="006D7475" w:rsidRPr="00DD0985">
        <w:rPr>
          <w:color w:val="auto"/>
          <w:sz w:val="22"/>
          <w:szCs w:val="22"/>
        </w:rPr>
        <w:t>, and the needs of marginalised groups in this sector</w:t>
      </w:r>
      <w:r w:rsidR="00F27D61" w:rsidRPr="00DD0985">
        <w:rPr>
          <w:color w:val="auto"/>
          <w:sz w:val="22"/>
          <w:szCs w:val="22"/>
        </w:rPr>
        <w:t>.</w:t>
      </w:r>
    </w:p>
    <w:p w:rsidR="006D7475" w:rsidRPr="006D7475" w:rsidRDefault="006D7475" w:rsidP="007C2B43">
      <w:pPr>
        <w:pStyle w:val="ListParagraph"/>
        <w:jc w:val="both"/>
        <w:rPr>
          <w:color w:val="auto"/>
          <w:sz w:val="22"/>
          <w:szCs w:val="22"/>
        </w:rPr>
      </w:pPr>
    </w:p>
    <w:p w:rsidR="00F27D61" w:rsidRPr="00DD0985" w:rsidRDefault="00DD0985" w:rsidP="007C2B43">
      <w:pPr>
        <w:pStyle w:val="ListParagraph"/>
        <w:widowControl/>
        <w:numPr>
          <w:ilvl w:val="0"/>
          <w:numId w:val="30"/>
        </w:numPr>
        <w:jc w:val="both"/>
        <w:rPr>
          <w:color w:val="auto"/>
          <w:sz w:val="22"/>
          <w:szCs w:val="22"/>
        </w:rPr>
      </w:pPr>
      <w:r w:rsidRPr="00DD0985">
        <w:rPr>
          <w:b/>
          <w:color w:val="auto"/>
          <w:sz w:val="22"/>
          <w:szCs w:val="22"/>
        </w:rPr>
        <w:t>Pastoralism and villagization:</w:t>
      </w:r>
      <w:r w:rsidRPr="00DD0985">
        <w:rPr>
          <w:color w:val="auto"/>
          <w:sz w:val="22"/>
          <w:szCs w:val="22"/>
        </w:rPr>
        <w:t xml:space="preserve"> </w:t>
      </w:r>
      <w:r w:rsidR="00F27D61" w:rsidRPr="00DD0985">
        <w:rPr>
          <w:color w:val="auto"/>
          <w:sz w:val="22"/>
          <w:szCs w:val="22"/>
        </w:rPr>
        <w:t>Th</w:t>
      </w:r>
      <w:r>
        <w:rPr>
          <w:color w:val="auto"/>
          <w:sz w:val="22"/>
          <w:szCs w:val="22"/>
        </w:rPr>
        <w:t xml:space="preserve">is </w:t>
      </w:r>
      <w:r w:rsidR="00F27D61" w:rsidRPr="00DD0985">
        <w:rPr>
          <w:color w:val="auto"/>
          <w:sz w:val="22"/>
          <w:szCs w:val="22"/>
        </w:rPr>
        <w:t>theme focusses on issues related to pastoralism and vill</w:t>
      </w:r>
      <w:r w:rsidR="006D7475" w:rsidRPr="00DD0985">
        <w:rPr>
          <w:color w:val="auto"/>
          <w:sz w:val="22"/>
          <w:szCs w:val="22"/>
        </w:rPr>
        <w:t>a</w:t>
      </w:r>
      <w:r w:rsidR="00F27D61" w:rsidRPr="00DD0985">
        <w:rPr>
          <w:color w:val="auto"/>
          <w:sz w:val="22"/>
          <w:szCs w:val="22"/>
        </w:rPr>
        <w:t>gi</w:t>
      </w:r>
      <w:r w:rsidR="006D7475" w:rsidRPr="00DD0985">
        <w:rPr>
          <w:color w:val="auto"/>
          <w:sz w:val="22"/>
          <w:szCs w:val="22"/>
        </w:rPr>
        <w:t>z</w:t>
      </w:r>
      <w:r w:rsidR="00F27D61" w:rsidRPr="00DD0985">
        <w:rPr>
          <w:color w:val="auto"/>
          <w:sz w:val="22"/>
          <w:szCs w:val="22"/>
        </w:rPr>
        <w:t>ation</w:t>
      </w:r>
      <w:r w:rsidR="007933B2" w:rsidRPr="00DD0985">
        <w:rPr>
          <w:color w:val="auto"/>
          <w:sz w:val="22"/>
          <w:szCs w:val="22"/>
        </w:rPr>
        <w:t xml:space="preserve">, particularly in relation to communities in the </w:t>
      </w:r>
      <w:proofErr w:type="spellStart"/>
      <w:r w:rsidR="007933B2" w:rsidRPr="00DD0985">
        <w:rPr>
          <w:color w:val="auto"/>
          <w:sz w:val="22"/>
          <w:szCs w:val="22"/>
        </w:rPr>
        <w:t>Omo</w:t>
      </w:r>
      <w:proofErr w:type="spellEnd"/>
      <w:r w:rsidR="007933B2" w:rsidRPr="00DD0985">
        <w:rPr>
          <w:color w:val="auto"/>
          <w:sz w:val="22"/>
          <w:szCs w:val="22"/>
        </w:rPr>
        <w:t xml:space="preserve"> Valley, Afar and Somali region.</w:t>
      </w:r>
    </w:p>
    <w:p w:rsidR="006D7475" w:rsidRPr="006D7475" w:rsidRDefault="006D7475" w:rsidP="007C2B43">
      <w:pPr>
        <w:pStyle w:val="ListParagraph"/>
        <w:jc w:val="both"/>
        <w:rPr>
          <w:color w:val="auto"/>
          <w:sz w:val="22"/>
          <w:szCs w:val="22"/>
        </w:rPr>
      </w:pPr>
    </w:p>
    <w:p w:rsidR="007933B2" w:rsidRPr="00DD0985" w:rsidRDefault="00DD0985" w:rsidP="007C2B43">
      <w:pPr>
        <w:pStyle w:val="ListParagraph"/>
        <w:widowControl/>
        <w:numPr>
          <w:ilvl w:val="0"/>
          <w:numId w:val="30"/>
        </w:numPr>
        <w:jc w:val="both"/>
        <w:rPr>
          <w:color w:val="auto"/>
          <w:sz w:val="22"/>
          <w:szCs w:val="22"/>
        </w:rPr>
      </w:pPr>
      <w:r w:rsidRPr="00DD0985">
        <w:rPr>
          <w:b/>
          <w:color w:val="auto"/>
          <w:sz w:val="22"/>
          <w:szCs w:val="22"/>
        </w:rPr>
        <w:t>Hard to reach vulnerable groups:</w:t>
      </w:r>
      <w:r w:rsidRPr="00DD0985">
        <w:rPr>
          <w:color w:val="auto"/>
          <w:sz w:val="22"/>
          <w:szCs w:val="22"/>
        </w:rPr>
        <w:t xml:space="preserve"> </w:t>
      </w:r>
      <w:r w:rsidR="007933B2" w:rsidRPr="00DD0985">
        <w:rPr>
          <w:color w:val="auto"/>
          <w:sz w:val="22"/>
          <w:szCs w:val="22"/>
        </w:rPr>
        <w:t>Th</w:t>
      </w:r>
      <w:r>
        <w:rPr>
          <w:color w:val="auto"/>
          <w:sz w:val="22"/>
          <w:szCs w:val="22"/>
        </w:rPr>
        <w:t xml:space="preserve">is </w:t>
      </w:r>
      <w:r w:rsidR="007933B2" w:rsidRPr="00DD0985">
        <w:rPr>
          <w:color w:val="auto"/>
          <w:sz w:val="22"/>
          <w:szCs w:val="22"/>
        </w:rPr>
        <w:t xml:space="preserve">theme under lot 2 involves the delivery of services targeting vulnerable and marginalised groups </w:t>
      </w:r>
      <w:r w:rsidR="0007052A" w:rsidRPr="00DD0985">
        <w:rPr>
          <w:color w:val="auto"/>
          <w:sz w:val="22"/>
          <w:szCs w:val="22"/>
        </w:rPr>
        <w:t xml:space="preserve">and those in need </w:t>
      </w:r>
      <w:r w:rsidR="007933B2" w:rsidRPr="00DD0985">
        <w:rPr>
          <w:color w:val="auto"/>
          <w:sz w:val="22"/>
          <w:szCs w:val="22"/>
        </w:rPr>
        <w:t xml:space="preserve">in order to </w:t>
      </w:r>
      <w:r w:rsidR="0007052A" w:rsidRPr="00DD0985">
        <w:rPr>
          <w:color w:val="auto"/>
          <w:sz w:val="22"/>
          <w:szCs w:val="22"/>
        </w:rPr>
        <w:t xml:space="preserve">reduce poverty, </w:t>
      </w:r>
      <w:r w:rsidR="007933B2" w:rsidRPr="00DD0985">
        <w:rPr>
          <w:color w:val="auto"/>
          <w:sz w:val="22"/>
          <w:szCs w:val="22"/>
        </w:rPr>
        <w:t>protect their rights and facilitate their socio-economic empowerment.</w:t>
      </w:r>
    </w:p>
    <w:p w:rsidR="00233D22" w:rsidRDefault="00233D22" w:rsidP="009763AA">
      <w:pPr>
        <w:widowControl/>
        <w:spacing w:before="120" w:after="200"/>
        <w:jc w:val="both"/>
        <w:rPr>
          <w:color w:val="auto"/>
          <w:sz w:val="22"/>
          <w:szCs w:val="22"/>
        </w:rPr>
      </w:pPr>
    </w:p>
    <w:p w:rsidR="005F64CD" w:rsidRDefault="005F64CD" w:rsidP="007C2B43">
      <w:pPr>
        <w:widowControl/>
        <w:jc w:val="both"/>
        <w:rPr>
          <w:color w:val="auto"/>
          <w:sz w:val="22"/>
          <w:szCs w:val="22"/>
        </w:rPr>
      </w:pPr>
      <w:r w:rsidRPr="0058437A">
        <w:rPr>
          <w:b/>
          <w:color w:val="auto"/>
          <w:sz w:val="22"/>
          <w:szCs w:val="22"/>
        </w:rPr>
        <w:t xml:space="preserve">Under lot 3 </w:t>
      </w:r>
      <w:r w:rsidR="00137026" w:rsidRPr="0058437A">
        <w:rPr>
          <w:b/>
          <w:color w:val="auto"/>
          <w:sz w:val="22"/>
          <w:szCs w:val="22"/>
        </w:rPr>
        <w:t>(</w:t>
      </w:r>
      <w:r w:rsidRPr="0058437A">
        <w:rPr>
          <w:b/>
          <w:color w:val="auto"/>
          <w:sz w:val="22"/>
          <w:szCs w:val="22"/>
        </w:rPr>
        <w:t xml:space="preserve">Gender equality, </w:t>
      </w:r>
      <w:r w:rsidR="003B0C47" w:rsidRPr="0058437A">
        <w:rPr>
          <w:b/>
          <w:color w:val="auto"/>
          <w:sz w:val="22"/>
          <w:szCs w:val="22"/>
        </w:rPr>
        <w:t>women’s</w:t>
      </w:r>
      <w:r w:rsidRPr="0058437A">
        <w:rPr>
          <w:b/>
          <w:color w:val="auto"/>
          <w:sz w:val="22"/>
          <w:szCs w:val="22"/>
        </w:rPr>
        <w:t xml:space="preserve"> and girl</w:t>
      </w:r>
      <w:r w:rsidR="00137026" w:rsidRPr="0058437A">
        <w:rPr>
          <w:b/>
          <w:color w:val="auto"/>
          <w:sz w:val="22"/>
          <w:szCs w:val="22"/>
        </w:rPr>
        <w:t>s’ empowerment and protection)</w:t>
      </w:r>
      <w:r>
        <w:rPr>
          <w:color w:val="auto"/>
          <w:sz w:val="22"/>
          <w:szCs w:val="22"/>
        </w:rPr>
        <w:t xml:space="preserve">, there are </w:t>
      </w:r>
      <w:r w:rsidR="003B0C47">
        <w:rPr>
          <w:color w:val="auto"/>
          <w:sz w:val="22"/>
          <w:szCs w:val="22"/>
        </w:rPr>
        <w:t>three</w:t>
      </w:r>
      <w:r>
        <w:rPr>
          <w:color w:val="auto"/>
          <w:sz w:val="22"/>
          <w:szCs w:val="22"/>
        </w:rPr>
        <w:t xml:space="preserve"> themes that may be addressed by proposed actions:</w:t>
      </w:r>
    </w:p>
    <w:p w:rsidR="00060CFB" w:rsidRDefault="00060CFB" w:rsidP="007C2B43">
      <w:pPr>
        <w:widowControl/>
        <w:jc w:val="both"/>
        <w:rPr>
          <w:color w:val="auto"/>
          <w:sz w:val="22"/>
          <w:szCs w:val="22"/>
        </w:rPr>
      </w:pPr>
    </w:p>
    <w:p w:rsidR="007933B2" w:rsidRPr="00DD0985" w:rsidRDefault="00DD0985" w:rsidP="007C2B43">
      <w:pPr>
        <w:pStyle w:val="ListParagraph"/>
        <w:widowControl/>
        <w:numPr>
          <w:ilvl w:val="0"/>
          <w:numId w:val="31"/>
        </w:numPr>
        <w:jc w:val="both"/>
        <w:rPr>
          <w:color w:val="auto"/>
          <w:sz w:val="22"/>
          <w:szCs w:val="22"/>
        </w:rPr>
      </w:pPr>
      <w:r>
        <w:rPr>
          <w:b/>
          <w:color w:val="auto"/>
          <w:sz w:val="22"/>
          <w:szCs w:val="22"/>
        </w:rPr>
        <w:t>Gender-based Violence (</w:t>
      </w:r>
      <w:r w:rsidRPr="00DD0985">
        <w:rPr>
          <w:b/>
          <w:color w:val="auto"/>
          <w:sz w:val="22"/>
          <w:szCs w:val="22"/>
        </w:rPr>
        <w:t>GBV</w:t>
      </w:r>
      <w:r>
        <w:rPr>
          <w:b/>
          <w:color w:val="auto"/>
          <w:sz w:val="22"/>
          <w:szCs w:val="22"/>
        </w:rPr>
        <w:t>)</w:t>
      </w:r>
      <w:r w:rsidRPr="00DD0985">
        <w:rPr>
          <w:b/>
          <w:color w:val="auto"/>
          <w:sz w:val="22"/>
          <w:szCs w:val="22"/>
        </w:rPr>
        <w:t xml:space="preserve"> / Violence against women</w:t>
      </w:r>
      <w:r>
        <w:rPr>
          <w:b/>
          <w:color w:val="auto"/>
          <w:sz w:val="22"/>
          <w:szCs w:val="22"/>
        </w:rPr>
        <w:t xml:space="preserve"> and girls (VAWG)</w:t>
      </w:r>
      <w:r w:rsidRPr="00DD0985">
        <w:rPr>
          <w:b/>
          <w:color w:val="auto"/>
          <w:sz w:val="22"/>
          <w:szCs w:val="22"/>
        </w:rPr>
        <w:t>:</w:t>
      </w:r>
      <w:r w:rsidRPr="00DD0985">
        <w:rPr>
          <w:color w:val="auto"/>
          <w:sz w:val="22"/>
          <w:szCs w:val="22"/>
        </w:rPr>
        <w:t xml:space="preserve"> </w:t>
      </w:r>
      <w:r w:rsidR="003B0C47" w:rsidRPr="00DD0985">
        <w:rPr>
          <w:color w:val="auto"/>
          <w:sz w:val="22"/>
          <w:szCs w:val="22"/>
        </w:rPr>
        <w:t>Th</w:t>
      </w:r>
      <w:r>
        <w:rPr>
          <w:color w:val="auto"/>
          <w:sz w:val="22"/>
          <w:szCs w:val="22"/>
        </w:rPr>
        <w:t xml:space="preserve">is </w:t>
      </w:r>
      <w:r w:rsidR="003B0C47" w:rsidRPr="00DD0985">
        <w:rPr>
          <w:color w:val="auto"/>
          <w:sz w:val="22"/>
          <w:szCs w:val="22"/>
        </w:rPr>
        <w:t xml:space="preserve">theme relates to </w:t>
      </w:r>
      <w:r>
        <w:rPr>
          <w:color w:val="auto"/>
          <w:sz w:val="22"/>
          <w:szCs w:val="22"/>
        </w:rPr>
        <w:t>g</w:t>
      </w:r>
      <w:r w:rsidR="003B0C47" w:rsidRPr="00DD0985">
        <w:rPr>
          <w:color w:val="auto"/>
          <w:sz w:val="22"/>
          <w:szCs w:val="22"/>
        </w:rPr>
        <w:t xml:space="preserve">ender-based </w:t>
      </w:r>
      <w:r>
        <w:rPr>
          <w:color w:val="auto"/>
          <w:sz w:val="22"/>
          <w:szCs w:val="22"/>
        </w:rPr>
        <w:t>v</w:t>
      </w:r>
      <w:r w:rsidR="003B0C47" w:rsidRPr="00DD0985">
        <w:rPr>
          <w:color w:val="auto"/>
          <w:sz w:val="22"/>
          <w:szCs w:val="22"/>
        </w:rPr>
        <w:t>iolence and violence against women and girls</w:t>
      </w:r>
      <w:r w:rsidR="00B80320" w:rsidRPr="00DD0985">
        <w:rPr>
          <w:color w:val="auto"/>
          <w:sz w:val="22"/>
          <w:szCs w:val="22"/>
        </w:rPr>
        <w:t>, and includes a wide range of possible interventions, from awareness raising and advocacy, to the delivery of specific services and legal redress.</w:t>
      </w:r>
    </w:p>
    <w:p w:rsidR="0007052A" w:rsidRDefault="0007052A" w:rsidP="007C2B43">
      <w:pPr>
        <w:pStyle w:val="ListParagraph"/>
        <w:widowControl/>
        <w:jc w:val="both"/>
        <w:rPr>
          <w:color w:val="auto"/>
          <w:sz w:val="22"/>
          <w:szCs w:val="22"/>
        </w:rPr>
      </w:pPr>
    </w:p>
    <w:p w:rsidR="00B80320" w:rsidRPr="00DD0985" w:rsidRDefault="00DD0985" w:rsidP="007C2B43">
      <w:pPr>
        <w:pStyle w:val="ListParagraph"/>
        <w:widowControl/>
        <w:numPr>
          <w:ilvl w:val="0"/>
          <w:numId w:val="31"/>
        </w:numPr>
        <w:jc w:val="both"/>
        <w:rPr>
          <w:color w:val="auto"/>
          <w:sz w:val="22"/>
          <w:szCs w:val="22"/>
        </w:rPr>
      </w:pPr>
      <w:r w:rsidRPr="00DD0985">
        <w:rPr>
          <w:b/>
          <w:color w:val="auto"/>
          <w:sz w:val="22"/>
          <w:szCs w:val="22"/>
        </w:rPr>
        <w:t>Protection of women and children:</w:t>
      </w:r>
      <w:r w:rsidRPr="00DD0985">
        <w:rPr>
          <w:color w:val="auto"/>
          <w:sz w:val="22"/>
          <w:szCs w:val="22"/>
        </w:rPr>
        <w:t xml:space="preserve"> </w:t>
      </w:r>
      <w:r w:rsidR="00B80320" w:rsidRPr="00DD0985">
        <w:rPr>
          <w:color w:val="auto"/>
          <w:sz w:val="22"/>
          <w:szCs w:val="22"/>
        </w:rPr>
        <w:t>Th</w:t>
      </w:r>
      <w:r>
        <w:rPr>
          <w:color w:val="auto"/>
          <w:sz w:val="22"/>
          <w:szCs w:val="22"/>
        </w:rPr>
        <w:t xml:space="preserve">is </w:t>
      </w:r>
      <w:r w:rsidR="00B80320" w:rsidRPr="00DD0985">
        <w:rPr>
          <w:color w:val="auto"/>
          <w:sz w:val="22"/>
          <w:szCs w:val="22"/>
        </w:rPr>
        <w:t>theme deals with the protection of women and girls from violence and sexual abuse, as well as the provision of physical and psychological support to survivors.</w:t>
      </w:r>
    </w:p>
    <w:p w:rsidR="0007052A" w:rsidRPr="0007052A" w:rsidRDefault="0007052A" w:rsidP="007C2B43">
      <w:pPr>
        <w:pStyle w:val="ListParagraph"/>
        <w:rPr>
          <w:color w:val="auto"/>
          <w:sz w:val="22"/>
          <w:szCs w:val="22"/>
        </w:rPr>
      </w:pPr>
    </w:p>
    <w:p w:rsidR="00B80320" w:rsidRDefault="00DD0985" w:rsidP="007C2B43">
      <w:pPr>
        <w:pStyle w:val="ListParagraph"/>
        <w:widowControl/>
        <w:numPr>
          <w:ilvl w:val="0"/>
          <w:numId w:val="31"/>
        </w:numPr>
        <w:jc w:val="both"/>
        <w:rPr>
          <w:color w:val="auto"/>
          <w:sz w:val="22"/>
          <w:szCs w:val="22"/>
        </w:rPr>
      </w:pPr>
      <w:r w:rsidRPr="00DD0985">
        <w:rPr>
          <w:b/>
          <w:color w:val="auto"/>
          <w:sz w:val="22"/>
          <w:szCs w:val="22"/>
        </w:rPr>
        <w:t>Fighting inequality and strengthening the voice and participation on women in society:</w:t>
      </w:r>
      <w:r>
        <w:rPr>
          <w:color w:val="auto"/>
          <w:sz w:val="22"/>
          <w:szCs w:val="22"/>
        </w:rPr>
        <w:t xml:space="preserve"> This </w:t>
      </w:r>
      <w:r w:rsidR="00B80320">
        <w:rPr>
          <w:color w:val="auto"/>
          <w:sz w:val="22"/>
          <w:szCs w:val="22"/>
        </w:rPr>
        <w:t>theme focusses on the fight against inequality</w:t>
      </w:r>
      <w:r w:rsidR="004852C2">
        <w:rPr>
          <w:color w:val="auto"/>
          <w:sz w:val="22"/>
          <w:szCs w:val="22"/>
        </w:rPr>
        <w:t xml:space="preserve"> and gender stereotypes. It also encourages proposals that strengthen the voice o</w:t>
      </w:r>
      <w:r w:rsidR="0007052A">
        <w:rPr>
          <w:color w:val="auto"/>
          <w:sz w:val="22"/>
          <w:szCs w:val="22"/>
        </w:rPr>
        <w:t>f</w:t>
      </w:r>
      <w:r w:rsidR="004852C2">
        <w:rPr>
          <w:color w:val="auto"/>
          <w:sz w:val="22"/>
          <w:szCs w:val="22"/>
        </w:rPr>
        <w:t xml:space="preserve"> woman and their meaningful participation in social, political and economic decision-making processes at all levels.</w:t>
      </w:r>
    </w:p>
    <w:p w:rsidR="001366B7" w:rsidRPr="001366B7" w:rsidRDefault="001366B7" w:rsidP="009763AA">
      <w:pPr>
        <w:pStyle w:val="ListParagraph"/>
        <w:rPr>
          <w:color w:val="auto"/>
          <w:sz w:val="22"/>
          <w:szCs w:val="22"/>
        </w:rPr>
      </w:pPr>
    </w:p>
    <w:p w:rsidR="004852C2" w:rsidRDefault="00390232" w:rsidP="007C2B43">
      <w:pPr>
        <w:widowControl/>
        <w:jc w:val="both"/>
        <w:rPr>
          <w:color w:val="auto"/>
          <w:sz w:val="22"/>
          <w:szCs w:val="22"/>
          <w:lang w:bidi="ar-SA"/>
        </w:rPr>
      </w:pPr>
      <w:r w:rsidRPr="000E62D1">
        <w:rPr>
          <w:b/>
          <w:color w:val="auto"/>
          <w:sz w:val="22"/>
          <w:szCs w:val="22"/>
        </w:rPr>
        <w:t>Gender equality</w:t>
      </w:r>
      <w:r w:rsidRPr="000E62D1">
        <w:rPr>
          <w:color w:val="auto"/>
          <w:sz w:val="22"/>
          <w:szCs w:val="22"/>
        </w:rPr>
        <w:t xml:space="preserve"> (as well as being the </w:t>
      </w:r>
      <w:r w:rsidR="00354B7E">
        <w:rPr>
          <w:color w:val="auto"/>
          <w:sz w:val="22"/>
          <w:szCs w:val="22"/>
        </w:rPr>
        <w:t>subject</w:t>
      </w:r>
      <w:r w:rsidRPr="000E62D1">
        <w:rPr>
          <w:color w:val="auto"/>
          <w:sz w:val="22"/>
          <w:szCs w:val="22"/>
        </w:rPr>
        <w:t xml:space="preserve"> of an entire lot), should </w:t>
      </w:r>
      <w:r w:rsidR="0007052A">
        <w:rPr>
          <w:color w:val="auto"/>
          <w:sz w:val="22"/>
          <w:szCs w:val="22"/>
        </w:rPr>
        <w:t xml:space="preserve">be mainstreamed in </w:t>
      </w:r>
      <w:r w:rsidRPr="000E62D1">
        <w:rPr>
          <w:color w:val="auto"/>
          <w:sz w:val="22"/>
          <w:szCs w:val="22"/>
        </w:rPr>
        <w:t xml:space="preserve">all proposed Actions. Similarly, </w:t>
      </w:r>
      <w:r w:rsidR="004A00B9" w:rsidRPr="000E62D1">
        <w:rPr>
          <w:color w:val="auto"/>
          <w:sz w:val="22"/>
          <w:szCs w:val="22"/>
        </w:rPr>
        <w:t xml:space="preserve">whilst the theme of </w:t>
      </w:r>
      <w:r w:rsidR="004A00B9" w:rsidRPr="003B6161">
        <w:rPr>
          <w:b/>
          <w:color w:val="auto"/>
          <w:sz w:val="22"/>
          <w:szCs w:val="22"/>
        </w:rPr>
        <w:t>Nation-building and peaceful co-existence</w:t>
      </w:r>
      <w:r w:rsidR="001366B7">
        <w:rPr>
          <w:b/>
          <w:color w:val="auto"/>
          <w:sz w:val="22"/>
          <w:szCs w:val="22"/>
        </w:rPr>
        <w:t xml:space="preserve"> </w:t>
      </w:r>
      <w:r w:rsidR="00C6753F">
        <w:rPr>
          <w:color w:val="auto"/>
          <w:sz w:val="22"/>
          <w:szCs w:val="22"/>
        </w:rPr>
        <w:t xml:space="preserve">is </w:t>
      </w:r>
      <w:r w:rsidR="00DD0985">
        <w:rPr>
          <w:color w:val="auto"/>
          <w:sz w:val="22"/>
          <w:szCs w:val="22"/>
        </w:rPr>
        <w:t xml:space="preserve">dealt with explicitly under lot 1, </w:t>
      </w:r>
      <w:r w:rsidR="004852C2" w:rsidRPr="000E62D1">
        <w:rPr>
          <w:color w:val="auto"/>
          <w:sz w:val="22"/>
          <w:szCs w:val="22"/>
        </w:rPr>
        <w:t xml:space="preserve">the </w:t>
      </w:r>
      <w:r w:rsidR="004852C2" w:rsidRPr="000E62D1">
        <w:rPr>
          <w:sz w:val="22"/>
          <w:szCs w:val="22"/>
        </w:rPr>
        <w:t xml:space="preserve">cultivation of </w:t>
      </w:r>
      <w:r w:rsidR="004852C2" w:rsidRPr="0007052A">
        <w:rPr>
          <w:b/>
          <w:sz w:val="22"/>
          <w:szCs w:val="22"/>
        </w:rPr>
        <w:t>democratic values</w:t>
      </w:r>
      <w:r w:rsidR="004852C2" w:rsidRPr="000E62D1">
        <w:rPr>
          <w:sz w:val="22"/>
          <w:szCs w:val="22"/>
        </w:rPr>
        <w:t xml:space="preserve">, </w:t>
      </w:r>
      <w:r w:rsidR="004852C2" w:rsidRPr="0007052A">
        <w:rPr>
          <w:b/>
          <w:color w:val="auto"/>
          <w:sz w:val="22"/>
          <w:szCs w:val="22"/>
          <w:lang w:bidi="ar-SA"/>
        </w:rPr>
        <w:t>social cohesion</w:t>
      </w:r>
      <w:r w:rsidR="004852C2" w:rsidRPr="000E62D1">
        <w:rPr>
          <w:color w:val="auto"/>
          <w:sz w:val="22"/>
          <w:szCs w:val="22"/>
          <w:lang w:bidi="ar-SA"/>
        </w:rPr>
        <w:t xml:space="preserve"> and </w:t>
      </w:r>
      <w:r w:rsidR="004852C2" w:rsidRPr="0007052A">
        <w:rPr>
          <w:b/>
          <w:color w:val="auto"/>
          <w:sz w:val="22"/>
          <w:szCs w:val="22"/>
          <w:lang w:bidi="ar-SA"/>
        </w:rPr>
        <w:t>inclusivity</w:t>
      </w:r>
      <w:r w:rsidR="004852C2" w:rsidRPr="000E62D1">
        <w:rPr>
          <w:color w:val="auto"/>
          <w:sz w:val="22"/>
          <w:szCs w:val="22"/>
          <w:lang w:bidi="ar-SA"/>
        </w:rPr>
        <w:t xml:space="preserve"> in peaceful transformation should be considered pertinent to all lots. </w:t>
      </w:r>
      <w:r w:rsidR="004852C2">
        <w:rPr>
          <w:color w:val="auto"/>
          <w:sz w:val="22"/>
          <w:szCs w:val="22"/>
          <w:lang w:bidi="ar-SA"/>
        </w:rPr>
        <w:t xml:space="preserve">Likewise, in keeping with the objectives of CSF III, all interventions will be expected to </w:t>
      </w:r>
      <w:r w:rsidR="00F45716">
        <w:rPr>
          <w:color w:val="auto"/>
          <w:sz w:val="22"/>
          <w:szCs w:val="22"/>
          <w:lang w:bidi="ar-SA"/>
        </w:rPr>
        <w:t xml:space="preserve">consider </w:t>
      </w:r>
      <w:r w:rsidR="004852C2">
        <w:rPr>
          <w:color w:val="auto"/>
          <w:sz w:val="22"/>
          <w:szCs w:val="22"/>
          <w:lang w:bidi="ar-SA"/>
        </w:rPr>
        <w:t>way</w:t>
      </w:r>
      <w:r w:rsidR="00F45716">
        <w:rPr>
          <w:color w:val="auto"/>
          <w:sz w:val="22"/>
          <w:szCs w:val="22"/>
          <w:lang w:bidi="ar-SA"/>
        </w:rPr>
        <w:t>s</w:t>
      </w:r>
      <w:r w:rsidR="004852C2">
        <w:rPr>
          <w:color w:val="auto"/>
          <w:sz w:val="22"/>
          <w:szCs w:val="22"/>
          <w:lang w:bidi="ar-SA"/>
        </w:rPr>
        <w:t xml:space="preserve"> of increasing </w:t>
      </w:r>
      <w:r w:rsidR="004852C2" w:rsidRPr="0007052A">
        <w:rPr>
          <w:b/>
          <w:color w:val="auto"/>
          <w:sz w:val="22"/>
          <w:szCs w:val="22"/>
          <w:lang w:bidi="ar-SA"/>
        </w:rPr>
        <w:t>participation</w:t>
      </w:r>
      <w:r w:rsidR="004852C2">
        <w:rPr>
          <w:color w:val="auto"/>
          <w:sz w:val="22"/>
          <w:szCs w:val="22"/>
          <w:lang w:bidi="ar-SA"/>
        </w:rPr>
        <w:t>, especially of the marginalised, and strengthen</w:t>
      </w:r>
      <w:r w:rsidR="0007052A">
        <w:rPr>
          <w:color w:val="auto"/>
          <w:sz w:val="22"/>
          <w:szCs w:val="22"/>
          <w:lang w:bidi="ar-SA"/>
        </w:rPr>
        <w:t>ing</w:t>
      </w:r>
      <w:r w:rsidR="001366B7">
        <w:rPr>
          <w:color w:val="auto"/>
          <w:sz w:val="22"/>
          <w:szCs w:val="22"/>
          <w:lang w:bidi="ar-SA"/>
        </w:rPr>
        <w:t xml:space="preserve"> </w:t>
      </w:r>
      <w:r w:rsidR="004852C2" w:rsidRPr="0007052A">
        <w:rPr>
          <w:b/>
          <w:color w:val="auto"/>
          <w:sz w:val="22"/>
          <w:szCs w:val="22"/>
          <w:lang w:bidi="ar-SA"/>
        </w:rPr>
        <w:t>citizen’s voice</w:t>
      </w:r>
      <w:r w:rsidR="00F45716" w:rsidRPr="0007052A">
        <w:rPr>
          <w:b/>
          <w:color w:val="auto"/>
          <w:sz w:val="22"/>
          <w:szCs w:val="22"/>
          <w:lang w:bidi="ar-SA"/>
        </w:rPr>
        <w:t xml:space="preserve"> in policy processes</w:t>
      </w:r>
      <w:r w:rsidR="00F45716">
        <w:rPr>
          <w:color w:val="auto"/>
          <w:sz w:val="22"/>
          <w:szCs w:val="22"/>
          <w:lang w:bidi="ar-SA"/>
        </w:rPr>
        <w:t xml:space="preserve">. </w:t>
      </w:r>
      <w:r w:rsidR="00F45716" w:rsidRPr="0007052A">
        <w:rPr>
          <w:b/>
          <w:color w:val="auto"/>
          <w:sz w:val="22"/>
          <w:szCs w:val="22"/>
          <w:lang w:bidi="ar-SA"/>
        </w:rPr>
        <w:t>Capacity-building</w:t>
      </w:r>
      <w:r w:rsidR="001366B7">
        <w:rPr>
          <w:b/>
          <w:color w:val="auto"/>
          <w:sz w:val="22"/>
          <w:szCs w:val="22"/>
          <w:lang w:bidi="ar-SA"/>
        </w:rPr>
        <w:t xml:space="preserve"> </w:t>
      </w:r>
      <w:r w:rsidR="0007052A">
        <w:rPr>
          <w:color w:val="auto"/>
          <w:sz w:val="22"/>
          <w:szCs w:val="22"/>
          <w:lang w:bidi="ar-SA"/>
        </w:rPr>
        <w:t xml:space="preserve">and the value of </w:t>
      </w:r>
      <w:r w:rsidR="0007052A" w:rsidRPr="0007052A">
        <w:rPr>
          <w:b/>
          <w:color w:val="auto"/>
          <w:sz w:val="22"/>
          <w:szCs w:val="22"/>
          <w:lang w:bidi="ar-SA"/>
        </w:rPr>
        <w:t>partnerships</w:t>
      </w:r>
      <w:r w:rsidR="001366B7">
        <w:rPr>
          <w:b/>
          <w:color w:val="auto"/>
          <w:sz w:val="22"/>
          <w:szCs w:val="22"/>
          <w:lang w:bidi="ar-SA"/>
        </w:rPr>
        <w:t xml:space="preserve"> </w:t>
      </w:r>
      <w:r w:rsidR="00F45716">
        <w:rPr>
          <w:color w:val="auto"/>
          <w:sz w:val="22"/>
          <w:szCs w:val="22"/>
          <w:lang w:bidi="ar-SA"/>
        </w:rPr>
        <w:t xml:space="preserve">should also be reflected </w:t>
      </w:r>
      <w:r w:rsidR="0007052A">
        <w:rPr>
          <w:color w:val="auto"/>
          <w:sz w:val="22"/>
          <w:szCs w:val="22"/>
          <w:lang w:bidi="ar-SA"/>
        </w:rPr>
        <w:t>throughout the Call process</w:t>
      </w:r>
      <w:r w:rsidR="00F45716">
        <w:rPr>
          <w:color w:val="auto"/>
          <w:sz w:val="22"/>
          <w:szCs w:val="22"/>
          <w:lang w:bidi="ar-SA"/>
        </w:rPr>
        <w:t>.</w:t>
      </w:r>
      <w:r w:rsidR="00415AF1">
        <w:rPr>
          <w:color w:val="auto"/>
          <w:sz w:val="22"/>
          <w:szCs w:val="22"/>
          <w:lang w:bidi="ar-SA"/>
        </w:rPr>
        <w:t xml:space="preserve"> </w:t>
      </w:r>
      <w:r w:rsidR="00415AF1" w:rsidRPr="00415AF1">
        <w:rPr>
          <w:color w:val="auto"/>
          <w:sz w:val="22"/>
          <w:szCs w:val="22"/>
          <w:lang w:bidi="ar-SA"/>
        </w:rPr>
        <w:t>Overlap between the thematic areas of the lots is possible and will not be considered a hindrance. If a proposal can be attributed to more than one lot as a result of diverse activities, applicants should choose the lot that best represents their overall objective.</w:t>
      </w:r>
    </w:p>
    <w:p w:rsidR="001366B7" w:rsidRPr="000E62D1" w:rsidRDefault="001366B7" w:rsidP="007C2B43">
      <w:pPr>
        <w:widowControl/>
        <w:jc w:val="both"/>
        <w:rPr>
          <w:color w:val="auto"/>
          <w:sz w:val="22"/>
          <w:szCs w:val="22"/>
          <w:lang w:bidi="ar-SA"/>
        </w:rPr>
      </w:pPr>
    </w:p>
    <w:p w:rsidR="000B5BFC" w:rsidRPr="00723D8E" w:rsidRDefault="00764274" w:rsidP="007C2B43">
      <w:pPr>
        <w:pStyle w:val="Bodytext21"/>
        <w:shd w:val="clear" w:color="auto" w:fill="auto"/>
        <w:spacing w:before="0" w:after="0" w:line="240" w:lineRule="auto"/>
        <w:ind w:firstLine="0"/>
        <w:rPr>
          <w:b/>
        </w:rPr>
      </w:pPr>
      <w:r w:rsidRPr="00723D8E">
        <w:rPr>
          <w:b/>
        </w:rPr>
        <w:t>Location</w:t>
      </w:r>
      <w:r w:rsidR="00723D8E">
        <w:rPr>
          <w:b/>
        </w:rPr>
        <w:t>:</w:t>
      </w:r>
    </w:p>
    <w:p w:rsidR="000B5BFC" w:rsidRDefault="00764274" w:rsidP="007C2B43">
      <w:pPr>
        <w:pStyle w:val="Bodytext21"/>
        <w:shd w:val="clear" w:color="auto" w:fill="auto"/>
        <w:spacing w:before="0" w:after="0" w:line="240" w:lineRule="auto"/>
        <w:ind w:firstLine="0"/>
      </w:pPr>
      <w:r>
        <w:t xml:space="preserve">Actions must take place in </w:t>
      </w:r>
      <w:r w:rsidR="00723D8E">
        <w:t xml:space="preserve">the Federal Democratic Republic of Ethiopia. </w:t>
      </w:r>
    </w:p>
    <w:p w:rsidR="00505F1A" w:rsidRDefault="00505F1A" w:rsidP="007C2B43">
      <w:pPr>
        <w:pStyle w:val="Bodytext21"/>
        <w:shd w:val="clear" w:color="auto" w:fill="auto"/>
        <w:spacing w:before="0" w:after="0" w:line="240" w:lineRule="auto"/>
        <w:ind w:firstLine="0"/>
        <w:rPr>
          <w:rStyle w:val="Bodytext26"/>
          <w:b/>
          <w:u w:val="none"/>
        </w:rPr>
      </w:pPr>
    </w:p>
    <w:p w:rsidR="000B5BFC" w:rsidRDefault="00764274" w:rsidP="007C2B43">
      <w:pPr>
        <w:pStyle w:val="Bodytext21"/>
        <w:shd w:val="clear" w:color="auto" w:fill="auto"/>
        <w:spacing w:before="0" w:after="0" w:line="240" w:lineRule="auto"/>
        <w:ind w:firstLine="0"/>
        <w:rPr>
          <w:rStyle w:val="Bodytext26"/>
          <w:b/>
          <w:u w:val="none"/>
        </w:rPr>
      </w:pPr>
      <w:r w:rsidRPr="00723D8E">
        <w:rPr>
          <w:rStyle w:val="Bodytext26"/>
          <w:b/>
          <w:u w:val="none"/>
        </w:rPr>
        <w:t>Types of action</w:t>
      </w:r>
      <w:r w:rsidR="00054495">
        <w:rPr>
          <w:rStyle w:val="Bodytext26"/>
          <w:b/>
          <w:u w:val="none"/>
        </w:rPr>
        <w:t>:</w:t>
      </w:r>
    </w:p>
    <w:p w:rsidR="00723D8E" w:rsidRPr="007869AD" w:rsidRDefault="00723D8E" w:rsidP="007C2B43">
      <w:pPr>
        <w:pStyle w:val="Bodytext21"/>
        <w:shd w:val="clear" w:color="auto" w:fill="auto"/>
        <w:spacing w:before="0" w:after="0" w:line="240" w:lineRule="auto"/>
        <w:ind w:firstLine="0"/>
      </w:pPr>
      <w:r w:rsidRPr="007869AD">
        <w:t xml:space="preserve">The following, non-exhaustive list of </w:t>
      </w:r>
      <w:r w:rsidR="005C01EA" w:rsidRPr="007869AD">
        <w:t>actions</w:t>
      </w:r>
      <w:r w:rsidR="00060CFB">
        <w:t xml:space="preserve"> </w:t>
      </w:r>
      <w:r w:rsidR="00054495" w:rsidRPr="007869AD">
        <w:t xml:space="preserve">(listed by lot) </w:t>
      </w:r>
      <w:r w:rsidRPr="007869AD">
        <w:t>may be</w:t>
      </w:r>
      <w:r w:rsidR="00054495" w:rsidRPr="007869AD">
        <w:t xml:space="preserve"> funded under this call.</w:t>
      </w:r>
    </w:p>
    <w:p w:rsidR="001B7AD8" w:rsidRPr="007869AD" w:rsidRDefault="001B7AD8" w:rsidP="007C2B43">
      <w:pPr>
        <w:pStyle w:val="Bodytext21"/>
        <w:shd w:val="clear" w:color="auto" w:fill="auto"/>
        <w:spacing w:before="0" w:after="0" w:line="240" w:lineRule="auto"/>
        <w:ind w:firstLine="0"/>
      </w:pPr>
    </w:p>
    <w:p w:rsidR="00D03761" w:rsidRPr="007869AD" w:rsidRDefault="00D03761" w:rsidP="007C2B43">
      <w:pPr>
        <w:widowControl/>
        <w:rPr>
          <w:b/>
          <w:sz w:val="22"/>
          <w:szCs w:val="22"/>
          <w:u w:val="single"/>
        </w:rPr>
      </w:pPr>
      <w:r w:rsidRPr="007869AD">
        <w:rPr>
          <w:b/>
          <w:sz w:val="22"/>
          <w:szCs w:val="22"/>
          <w:u w:val="single"/>
        </w:rPr>
        <w:t>Lot 1: Democratic Governance and Rule of Law</w:t>
      </w:r>
    </w:p>
    <w:p w:rsidR="00D03761" w:rsidRPr="007869AD" w:rsidRDefault="00D03761" w:rsidP="007C2B43">
      <w:pPr>
        <w:jc w:val="both"/>
        <w:rPr>
          <w:sz w:val="22"/>
          <w:szCs w:val="22"/>
        </w:rPr>
      </w:pPr>
      <w:r w:rsidRPr="007869AD">
        <w:rPr>
          <w:sz w:val="22"/>
          <w:szCs w:val="22"/>
        </w:rPr>
        <w:t xml:space="preserve">In continuation of the previous CSF II, CSF III aims at increasing CSOs’ participation in the development and democratisation process. CSOs are ascribed an intermediary function between the state and its citizens to transmit citizens’ and their constituencies’ concerns to the political sphere. CSOs should become an integral part of policy dialogue, be part of the </w:t>
      </w:r>
      <w:r w:rsidR="0032492C" w:rsidRPr="007869AD">
        <w:rPr>
          <w:sz w:val="22"/>
          <w:szCs w:val="22"/>
        </w:rPr>
        <w:t>decision-making</w:t>
      </w:r>
      <w:r w:rsidRPr="007869AD">
        <w:rPr>
          <w:sz w:val="22"/>
          <w:szCs w:val="22"/>
        </w:rPr>
        <w:t xml:space="preserve"> process and hold government accountable, thereby playing an oversight function over national and regional policies. </w:t>
      </w:r>
    </w:p>
    <w:p w:rsidR="00D03761" w:rsidRPr="007869AD" w:rsidRDefault="00D03761" w:rsidP="007C2B43">
      <w:pPr>
        <w:jc w:val="both"/>
        <w:rPr>
          <w:sz w:val="22"/>
          <w:szCs w:val="22"/>
          <w:u w:val="single"/>
        </w:rPr>
      </w:pPr>
    </w:p>
    <w:p w:rsidR="00D03761" w:rsidRPr="007869AD" w:rsidRDefault="00D03761" w:rsidP="007C2B43">
      <w:pPr>
        <w:jc w:val="both"/>
        <w:rPr>
          <w:sz w:val="22"/>
          <w:szCs w:val="22"/>
        </w:rPr>
      </w:pPr>
      <w:r w:rsidRPr="007869AD">
        <w:rPr>
          <w:sz w:val="22"/>
          <w:szCs w:val="22"/>
          <w:u w:val="single"/>
        </w:rPr>
        <w:t>Oversight</w:t>
      </w:r>
      <w:r w:rsidRPr="007869AD">
        <w:rPr>
          <w:sz w:val="22"/>
          <w:szCs w:val="22"/>
        </w:rPr>
        <w:t>:</w:t>
      </w:r>
    </w:p>
    <w:p w:rsidR="00D03761" w:rsidRPr="007869AD" w:rsidRDefault="00D03761" w:rsidP="007C2B43">
      <w:pPr>
        <w:pStyle w:val="ListParagraph"/>
        <w:widowControl/>
        <w:numPr>
          <w:ilvl w:val="0"/>
          <w:numId w:val="25"/>
        </w:numPr>
        <w:jc w:val="both"/>
        <w:rPr>
          <w:sz w:val="22"/>
          <w:szCs w:val="22"/>
        </w:rPr>
      </w:pPr>
      <w:r w:rsidRPr="007869AD">
        <w:rPr>
          <w:sz w:val="22"/>
          <w:szCs w:val="22"/>
        </w:rPr>
        <w:t xml:space="preserve">Knowledge generation and access to information (on societal issues and remedies, local and national policies and budgets) </w:t>
      </w:r>
    </w:p>
    <w:p w:rsidR="00D03761" w:rsidRPr="007869AD" w:rsidRDefault="00D03761" w:rsidP="007C2B43">
      <w:pPr>
        <w:pStyle w:val="ListParagraph"/>
        <w:widowControl/>
        <w:numPr>
          <w:ilvl w:val="0"/>
          <w:numId w:val="25"/>
        </w:numPr>
        <w:jc w:val="both"/>
        <w:rPr>
          <w:sz w:val="22"/>
          <w:szCs w:val="22"/>
        </w:rPr>
      </w:pPr>
      <w:r w:rsidRPr="007869AD">
        <w:rPr>
          <w:sz w:val="22"/>
          <w:szCs w:val="22"/>
        </w:rPr>
        <w:t xml:space="preserve">Research, policy analysis, policy briefs and evidence-based dialogue </w:t>
      </w:r>
    </w:p>
    <w:p w:rsidR="00D03761" w:rsidRPr="007869AD" w:rsidRDefault="008973A1" w:rsidP="007C2B43">
      <w:pPr>
        <w:pStyle w:val="ListParagraph"/>
        <w:widowControl/>
        <w:numPr>
          <w:ilvl w:val="0"/>
          <w:numId w:val="25"/>
        </w:numPr>
        <w:jc w:val="both"/>
        <w:rPr>
          <w:sz w:val="22"/>
          <w:szCs w:val="22"/>
        </w:rPr>
      </w:pPr>
      <w:r w:rsidRPr="007869AD">
        <w:rPr>
          <w:sz w:val="22"/>
          <w:szCs w:val="22"/>
        </w:rPr>
        <w:t>A</w:t>
      </w:r>
      <w:r w:rsidR="00D03761" w:rsidRPr="007869AD">
        <w:rPr>
          <w:sz w:val="22"/>
          <w:szCs w:val="22"/>
        </w:rPr>
        <w:t>nti-corruption activities and transparency</w:t>
      </w:r>
    </w:p>
    <w:p w:rsidR="00D03761" w:rsidRPr="007869AD" w:rsidRDefault="008973A1" w:rsidP="007C2B43">
      <w:pPr>
        <w:pStyle w:val="ListParagraph"/>
        <w:widowControl/>
        <w:numPr>
          <w:ilvl w:val="0"/>
          <w:numId w:val="25"/>
        </w:numPr>
        <w:jc w:val="both"/>
        <w:rPr>
          <w:sz w:val="22"/>
          <w:szCs w:val="22"/>
        </w:rPr>
      </w:pPr>
      <w:r w:rsidRPr="007869AD">
        <w:rPr>
          <w:sz w:val="22"/>
          <w:szCs w:val="22"/>
        </w:rPr>
        <w:t>H</w:t>
      </w:r>
      <w:r w:rsidR="00D03761" w:rsidRPr="007869AD">
        <w:rPr>
          <w:sz w:val="22"/>
          <w:szCs w:val="22"/>
        </w:rPr>
        <w:t>old</w:t>
      </w:r>
      <w:r w:rsidRPr="007869AD">
        <w:rPr>
          <w:sz w:val="22"/>
          <w:szCs w:val="22"/>
        </w:rPr>
        <w:t>ing</w:t>
      </w:r>
      <w:r w:rsidR="00D03761" w:rsidRPr="007869AD">
        <w:rPr>
          <w:sz w:val="22"/>
          <w:szCs w:val="22"/>
        </w:rPr>
        <w:t xml:space="preserve"> service providers and local administrations accountable </w:t>
      </w:r>
      <w:r w:rsidR="00E16D65" w:rsidRPr="007869AD">
        <w:rPr>
          <w:sz w:val="22"/>
          <w:szCs w:val="22"/>
        </w:rPr>
        <w:t>in-service</w:t>
      </w:r>
      <w:r w:rsidR="00D03761" w:rsidRPr="007869AD">
        <w:rPr>
          <w:sz w:val="22"/>
          <w:szCs w:val="22"/>
        </w:rPr>
        <w:t xml:space="preserve"> delivery (effectiveness, quality and access)</w:t>
      </w:r>
    </w:p>
    <w:p w:rsidR="00D03761" w:rsidRPr="007869AD" w:rsidRDefault="00D03761" w:rsidP="007C2B43">
      <w:pPr>
        <w:pStyle w:val="ListParagraph"/>
        <w:widowControl/>
        <w:numPr>
          <w:ilvl w:val="0"/>
          <w:numId w:val="25"/>
        </w:numPr>
        <w:jc w:val="both"/>
        <w:rPr>
          <w:sz w:val="22"/>
          <w:szCs w:val="22"/>
        </w:rPr>
      </w:pPr>
      <w:r w:rsidRPr="007869AD">
        <w:rPr>
          <w:sz w:val="22"/>
          <w:szCs w:val="22"/>
        </w:rPr>
        <w:t>Reduc</w:t>
      </w:r>
      <w:r w:rsidR="008973A1" w:rsidRPr="007869AD">
        <w:rPr>
          <w:sz w:val="22"/>
          <w:szCs w:val="22"/>
        </w:rPr>
        <w:t>ing</w:t>
      </w:r>
      <w:r w:rsidRPr="007869AD">
        <w:rPr>
          <w:sz w:val="22"/>
          <w:szCs w:val="22"/>
        </w:rPr>
        <w:t xml:space="preserve"> inequality: promot</w:t>
      </w:r>
      <w:r w:rsidR="008973A1" w:rsidRPr="007869AD">
        <w:rPr>
          <w:sz w:val="22"/>
          <w:szCs w:val="22"/>
        </w:rPr>
        <w:t>ing</w:t>
      </w:r>
      <w:r w:rsidRPr="007869AD">
        <w:rPr>
          <w:sz w:val="22"/>
          <w:szCs w:val="22"/>
        </w:rPr>
        <w:t xml:space="preserve"> policies, especially fiscal, wage and social protection policies, and progressively achiev</w:t>
      </w:r>
      <w:r w:rsidR="008973A1" w:rsidRPr="007869AD">
        <w:rPr>
          <w:sz w:val="22"/>
          <w:szCs w:val="22"/>
        </w:rPr>
        <w:t>ing</w:t>
      </w:r>
      <w:r w:rsidRPr="007869AD">
        <w:rPr>
          <w:sz w:val="22"/>
          <w:szCs w:val="22"/>
        </w:rPr>
        <w:t xml:space="preserve"> greater equality </w:t>
      </w:r>
    </w:p>
    <w:p w:rsidR="00D03761" w:rsidRPr="007869AD" w:rsidRDefault="00D03761" w:rsidP="007C2B43">
      <w:pPr>
        <w:pStyle w:val="ListParagraph"/>
        <w:widowControl/>
        <w:numPr>
          <w:ilvl w:val="0"/>
          <w:numId w:val="25"/>
        </w:numPr>
        <w:jc w:val="both"/>
        <w:rPr>
          <w:sz w:val="22"/>
          <w:szCs w:val="22"/>
        </w:rPr>
      </w:pPr>
      <w:r w:rsidRPr="007869AD">
        <w:rPr>
          <w:sz w:val="22"/>
          <w:szCs w:val="22"/>
        </w:rPr>
        <w:t>Engag</w:t>
      </w:r>
      <w:r w:rsidR="008973A1" w:rsidRPr="007869AD">
        <w:rPr>
          <w:sz w:val="22"/>
          <w:szCs w:val="22"/>
        </w:rPr>
        <w:t>ing</w:t>
      </w:r>
      <w:r w:rsidRPr="007869AD">
        <w:rPr>
          <w:sz w:val="22"/>
          <w:szCs w:val="22"/>
        </w:rPr>
        <w:t xml:space="preserve"> in policy monitoring and analysis of public policies</w:t>
      </w:r>
    </w:p>
    <w:p w:rsidR="00D03761" w:rsidRPr="007869AD" w:rsidRDefault="008973A1" w:rsidP="007C2B43">
      <w:pPr>
        <w:pStyle w:val="ListParagraph"/>
        <w:widowControl/>
        <w:numPr>
          <w:ilvl w:val="0"/>
          <w:numId w:val="25"/>
        </w:numPr>
        <w:jc w:val="both"/>
        <w:rPr>
          <w:sz w:val="22"/>
          <w:szCs w:val="22"/>
        </w:rPr>
      </w:pPr>
      <w:r w:rsidRPr="007869AD">
        <w:rPr>
          <w:sz w:val="22"/>
          <w:szCs w:val="22"/>
        </w:rPr>
        <w:t>P</w:t>
      </w:r>
      <w:r w:rsidR="00D03761" w:rsidRPr="007869AD">
        <w:rPr>
          <w:sz w:val="22"/>
          <w:szCs w:val="22"/>
        </w:rPr>
        <w:t>articipatory processes, community conversations, focus group discussions (to allow communities to voice their concerns) and create opportunities for voicing concerns</w:t>
      </w:r>
    </w:p>
    <w:p w:rsidR="00D03761" w:rsidRPr="007869AD" w:rsidRDefault="008973A1" w:rsidP="007C2B43">
      <w:pPr>
        <w:pStyle w:val="ListParagraph"/>
        <w:widowControl/>
        <w:numPr>
          <w:ilvl w:val="0"/>
          <w:numId w:val="25"/>
        </w:numPr>
        <w:jc w:val="both"/>
        <w:rPr>
          <w:sz w:val="22"/>
          <w:szCs w:val="22"/>
        </w:rPr>
      </w:pPr>
      <w:r w:rsidRPr="007869AD">
        <w:rPr>
          <w:sz w:val="22"/>
          <w:szCs w:val="22"/>
        </w:rPr>
        <w:t>S</w:t>
      </w:r>
      <w:r w:rsidR="00D03761" w:rsidRPr="007869AD">
        <w:rPr>
          <w:sz w:val="22"/>
          <w:szCs w:val="22"/>
        </w:rPr>
        <w:t>etting up or reinforcement of local networks</w:t>
      </w:r>
    </w:p>
    <w:p w:rsidR="00D03761" w:rsidRPr="007869AD" w:rsidRDefault="008973A1" w:rsidP="007C2B43">
      <w:pPr>
        <w:pStyle w:val="ListParagraph"/>
        <w:widowControl/>
        <w:numPr>
          <w:ilvl w:val="0"/>
          <w:numId w:val="25"/>
        </w:numPr>
        <w:jc w:val="both"/>
        <w:rPr>
          <w:sz w:val="22"/>
          <w:szCs w:val="22"/>
        </w:rPr>
      </w:pPr>
      <w:r w:rsidRPr="007869AD">
        <w:rPr>
          <w:sz w:val="22"/>
          <w:szCs w:val="22"/>
        </w:rPr>
        <w:t>A</w:t>
      </w:r>
      <w:r w:rsidR="00D03761" w:rsidRPr="007869AD">
        <w:rPr>
          <w:sz w:val="22"/>
          <w:szCs w:val="22"/>
        </w:rPr>
        <w:t>ctions boosting citizens</w:t>
      </w:r>
      <w:r w:rsidRPr="007869AD">
        <w:rPr>
          <w:sz w:val="22"/>
          <w:szCs w:val="22"/>
        </w:rPr>
        <w:t>’</w:t>
      </w:r>
      <w:r w:rsidR="00D03761" w:rsidRPr="007869AD">
        <w:rPr>
          <w:sz w:val="22"/>
          <w:szCs w:val="22"/>
        </w:rPr>
        <w:t xml:space="preserve"> and community structures</w:t>
      </w:r>
    </w:p>
    <w:p w:rsidR="00D03761" w:rsidRDefault="00D03761" w:rsidP="007C2B43">
      <w:pPr>
        <w:pStyle w:val="ListParagraph"/>
        <w:widowControl/>
        <w:numPr>
          <w:ilvl w:val="0"/>
          <w:numId w:val="25"/>
        </w:numPr>
        <w:jc w:val="both"/>
        <w:rPr>
          <w:sz w:val="22"/>
          <w:szCs w:val="22"/>
        </w:rPr>
      </w:pPr>
      <w:r w:rsidRPr="007869AD">
        <w:rPr>
          <w:sz w:val="22"/>
          <w:szCs w:val="22"/>
        </w:rPr>
        <w:t>Activities surrounding processes by which laws are enacted, administered, enforced</w:t>
      </w:r>
      <w:r w:rsidR="003347A5" w:rsidRPr="007869AD">
        <w:rPr>
          <w:sz w:val="22"/>
          <w:szCs w:val="22"/>
        </w:rPr>
        <w:t>,</w:t>
      </w:r>
      <w:r w:rsidR="002D3F59">
        <w:rPr>
          <w:sz w:val="22"/>
          <w:szCs w:val="22"/>
        </w:rPr>
        <w:t xml:space="preserve"> </w:t>
      </w:r>
      <w:r w:rsidR="003347A5" w:rsidRPr="007869AD">
        <w:rPr>
          <w:sz w:val="22"/>
          <w:szCs w:val="22"/>
        </w:rPr>
        <w:t xml:space="preserve">and </w:t>
      </w:r>
      <w:r w:rsidR="00E16D65" w:rsidRPr="007869AD">
        <w:rPr>
          <w:sz w:val="22"/>
          <w:szCs w:val="22"/>
        </w:rPr>
        <w:t xml:space="preserve">which </w:t>
      </w:r>
      <w:r w:rsidRPr="007869AD">
        <w:rPr>
          <w:sz w:val="22"/>
          <w:szCs w:val="22"/>
        </w:rPr>
        <w:t>are accessible, fair, and efficient</w:t>
      </w:r>
      <w:r w:rsidR="00E16D65" w:rsidRPr="007869AD">
        <w:rPr>
          <w:sz w:val="22"/>
          <w:szCs w:val="22"/>
        </w:rPr>
        <w:t>,</w:t>
      </w:r>
      <w:r w:rsidRPr="007869AD">
        <w:rPr>
          <w:sz w:val="22"/>
          <w:szCs w:val="22"/>
        </w:rPr>
        <w:t xml:space="preserve"> and </w:t>
      </w:r>
      <w:r w:rsidRPr="007869AD">
        <w:rPr>
          <w:sz w:val="22"/>
          <w:szCs w:val="22"/>
          <w:lang w:eastAsia="de-DE"/>
        </w:rPr>
        <w:t xml:space="preserve">efficiency of the justice system. </w:t>
      </w:r>
    </w:p>
    <w:p w:rsidR="00065ED2" w:rsidRPr="007869AD" w:rsidRDefault="00065ED2" w:rsidP="007C2B43">
      <w:pPr>
        <w:pStyle w:val="ListParagraph"/>
        <w:widowControl/>
        <w:jc w:val="both"/>
        <w:rPr>
          <w:sz w:val="22"/>
          <w:szCs w:val="22"/>
        </w:rPr>
      </w:pPr>
    </w:p>
    <w:p w:rsidR="00D03761" w:rsidRPr="007869AD" w:rsidRDefault="00D03761" w:rsidP="007C2B43">
      <w:pPr>
        <w:jc w:val="both"/>
        <w:rPr>
          <w:sz w:val="22"/>
          <w:szCs w:val="22"/>
        </w:rPr>
      </w:pPr>
      <w:r w:rsidRPr="007869AD">
        <w:rPr>
          <w:sz w:val="22"/>
          <w:szCs w:val="22"/>
          <w:u w:val="single"/>
        </w:rPr>
        <w:t>Human Rights</w:t>
      </w:r>
      <w:r w:rsidRPr="007869AD">
        <w:rPr>
          <w:sz w:val="22"/>
          <w:szCs w:val="22"/>
        </w:rPr>
        <w:t>:</w:t>
      </w:r>
    </w:p>
    <w:p w:rsidR="00D03761" w:rsidRPr="007869AD" w:rsidRDefault="00D03761" w:rsidP="007C2B43">
      <w:pPr>
        <w:pStyle w:val="ListParagraph"/>
        <w:widowControl/>
        <w:numPr>
          <w:ilvl w:val="0"/>
          <w:numId w:val="25"/>
        </w:numPr>
        <w:jc w:val="both"/>
        <w:rPr>
          <w:sz w:val="22"/>
          <w:szCs w:val="22"/>
        </w:rPr>
      </w:pPr>
      <w:r w:rsidRPr="007869AD">
        <w:rPr>
          <w:sz w:val="22"/>
          <w:szCs w:val="22"/>
        </w:rPr>
        <w:t>Support for human rights defenders</w:t>
      </w:r>
    </w:p>
    <w:p w:rsidR="00D03761" w:rsidRPr="007869AD" w:rsidRDefault="008973A1" w:rsidP="007C2B43">
      <w:pPr>
        <w:pStyle w:val="ListParagraph"/>
        <w:widowControl/>
        <w:numPr>
          <w:ilvl w:val="0"/>
          <w:numId w:val="25"/>
        </w:numPr>
        <w:jc w:val="both"/>
        <w:rPr>
          <w:sz w:val="22"/>
          <w:szCs w:val="22"/>
        </w:rPr>
      </w:pPr>
      <w:r w:rsidRPr="007869AD">
        <w:rPr>
          <w:sz w:val="22"/>
          <w:szCs w:val="22"/>
        </w:rPr>
        <w:t>M</w:t>
      </w:r>
      <w:r w:rsidR="00D03761" w:rsidRPr="007869AD">
        <w:rPr>
          <w:sz w:val="22"/>
          <w:szCs w:val="22"/>
        </w:rPr>
        <w:t>onitoring activities (problematic legislation, implementation of laws and effects, fundamental freedoms, torture)</w:t>
      </w:r>
    </w:p>
    <w:p w:rsidR="00D03761" w:rsidRPr="007869AD" w:rsidRDefault="008973A1" w:rsidP="007C2B43">
      <w:pPr>
        <w:pStyle w:val="ListParagraph"/>
        <w:widowControl/>
        <w:numPr>
          <w:ilvl w:val="0"/>
          <w:numId w:val="24"/>
        </w:numPr>
        <w:jc w:val="both"/>
        <w:rPr>
          <w:sz w:val="22"/>
          <w:szCs w:val="22"/>
        </w:rPr>
      </w:pPr>
      <w:r w:rsidRPr="007869AD">
        <w:rPr>
          <w:sz w:val="22"/>
          <w:szCs w:val="22"/>
        </w:rPr>
        <w:t>P</w:t>
      </w:r>
      <w:r w:rsidR="00D03761" w:rsidRPr="007869AD">
        <w:rPr>
          <w:sz w:val="22"/>
          <w:szCs w:val="22"/>
        </w:rPr>
        <w:t>risoners’ rights, rehabilitation and reintegration (incl</w:t>
      </w:r>
      <w:r w:rsidRPr="007869AD">
        <w:rPr>
          <w:sz w:val="22"/>
          <w:szCs w:val="22"/>
        </w:rPr>
        <w:t>uding</w:t>
      </w:r>
      <w:r w:rsidR="00D101C2">
        <w:rPr>
          <w:sz w:val="22"/>
          <w:szCs w:val="22"/>
        </w:rPr>
        <w:t xml:space="preserve"> </w:t>
      </w:r>
      <w:r w:rsidRPr="007869AD">
        <w:rPr>
          <w:sz w:val="22"/>
          <w:szCs w:val="22"/>
        </w:rPr>
        <w:t>p</w:t>
      </w:r>
      <w:r w:rsidR="00D03761" w:rsidRPr="007869AD">
        <w:rPr>
          <w:sz w:val="22"/>
          <w:szCs w:val="22"/>
        </w:rPr>
        <w:t>sychosocial support)</w:t>
      </w:r>
    </w:p>
    <w:p w:rsidR="0032492C" w:rsidRPr="007869AD" w:rsidRDefault="0032492C" w:rsidP="007C2B43">
      <w:pPr>
        <w:pStyle w:val="ListParagraph"/>
        <w:widowControl/>
        <w:numPr>
          <w:ilvl w:val="0"/>
          <w:numId w:val="24"/>
        </w:numPr>
        <w:jc w:val="both"/>
        <w:rPr>
          <w:sz w:val="22"/>
          <w:szCs w:val="22"/>
        </w:rPr>
      </w:pPr>
      <w:r w:rsidRPr="007869AD">
        <w:rPr>
          <w:sz w:val="22"/>
          <w:szCs w:val="22"/>
        </w:rPr>
        <w:t>Abolition of the death penalty</w:t>
      </w:r>
    </w:p>
    <w:p w:rsidR="00D03761" w:rsidRPr="007869AD" w:rsidRDefault="008973A1" w:rsidP="007C2B43">
      <w:pPr>
        <w:pStyle w:val="ListParagraph"/>
        <w:widowControl/>
        <w:numPr>
          <w:ilvl w:val="0"/>
          <w:numId w:val="25"/>
        </w:numPr>
        <w:jc w:val="both"/>
        <w:rPr>
          <w:sz w:val="22"/>
          <w:szCs w:val="22"/>
        </w:rPr>
      </w:pPr>
      <w:r w:rsidRPr="007869AD">
        <w:rPr>
          <w:sz w:val="22"/>
          <w:szCs w:val="22"/>
        </w:rPr>
        <w:t>A</w:t>
      </w:r>
      <w:r w:rsidR="00D03761" w:rsidRPr="007869AD">
        <w:rPr>
          <w:sz w:val="22"/>
          <w:szCs w:val="22"/>
        </w:rPr>
        <w:t xml:space="preserve">dvocacy activities </w:t>
      </w:r>
    </w:p>
    <w:p w:rsidR="00D03761" w:rsidRPr="007869AD" w:rsidRDefault="008973A1" w:rsidP="007C2B43">
      <w:pPr>
        <w:pStyle w:val="ListParagraph"/>
        <w:widowControl/>
        <w:numPr>
          <w:ilvl w:val="0"/>
          <w:numId w:val="25"/>
        </w:numPr>
        <w:jc w:val="both"/>
        <w:rPr>
          <w:sz w:val="22"/>
          <w:szCs w:val="22"/>
        </w:rPr>
      </w:pPr>
      <w:r w:rsidRPr="007869AD">
        <w:rPr>
          <w:sz w:val="22"/>
          <w:szCs w:val="22"/>
        </w:rPr>
        <w:t>R</w:t>
      </w:r>
      <w:r w:rsidR="00D03761" w:rsidRPr="007869AD">
        <w:rPr>
          <w:sz w:val="22"/>
          <w:szCs w:val="22"/>
        </w:rPr>
        <w:t>esearch activities</w:t>
      </w:r>
    </w:p>
    <w:p w:rsidR="00D03761" w:rsidRPr="007869AD" w:rsidRDefault="008973A1" w:rsidP="007C2B43">
      <w:pPr>
        <w:pStyle w:val="ListParagraph"/>
        <w:widowControl/>
        <w:numPr>
          <w:ilvl w:val="0"/>
          <w:numId w:val="25"/>
        </w:numPr>
        <w:jc w:val="both"/>
        <w:rPr>
          <w:sz w:val="22"/>
          <w:szCs w:val="22"/>
        </w:rPr>
      </w:pPr>
      <w:r w:rsidRPr="007869AD">
        <w:rPr>
          <w:sz w:val="22"/>
          <w:szCs w:val="22"/>
        </w:rPr>
        <w:t>A</w:t>
      </w:r>
      <w:r w:rsidR="00D03761" w:rsidRPr="007869AD">
        <w:rPr>
          <w:sz w:val="22"/>
          <w:szCs w:val="22"/>
        </w:rPr>
        <w:t>ccountability: shadow reports on UPR, National Human Rights Action Plan II, Growth and Transformation Plan II</w:t>
      </w:r>
    </w:p>
    <w:p w:rsidR="00D03761" w:rsidRDefault="008973A1" w:rsidP="007C2B43">
      <w:pPr>
        <w:pStyle w:val="ListParagraph"/>
        <w:widowControl/>
        <w:numPr>
          <w:ilvl w:val="0"/>
          <w:numId w:val="25"/>
        </w:numPr>
        <w:jc w:val="both"/>
        <w:rPr>
          <w:sz w:val="22"/>
          <w:szCs w:val="22"/>
        </w:rPr>
      </w:pPr>
      <w:r w:rsidRPr="007869AD">
        <w:rPr>
          <w:sz w:val="22"/>
          <w:szCs w:val="22"/>
        </w:rPr>
        <w:t>H</w:t>
      </w:r>
      <w:r w:rsidR="00D03761" w:rsidRPr="007869AD">
        <w:rPr>
          <w:sz w:val="22"/>
          <w:szCs w:val="22"/>
        </w:rPr>
        <w:t>armful traditional practices</w:t>
      </w:r>
      <w:r w:rsidRPr="007869AD">
        <w:rPr>
          <w:sz w:val="22"/>
          <w:szCs w:val="22"/>
        </w:rPr>
        <w:t>.</w:t>
      </w:r>
    </w:p>
    <w:p w:rsidR="00D101C2" w:rsidRPr="007869AD" w:rsidRDefault="00D101C2" w:rsidP="007C2B43">
      <w:pPr>
        <w:pStyle w:val="ListParagraph"/>
        <w:widowControl/>
        <w:jc w:val="both"/>
        <w:rPr>
          <w:sz w:val="22"/>
          <w:szCs w:val="22"/>
        </w:rPr>
      </w:pPr>
    </w:p>
    <w:p w:rsidR="00D03761" w:rsidRPr="007869AD" w:rsidRDefault="00D03761" w:rsidP="007C2B43">
      <w:pPr>
        <w:jc w:val="both"/>
        <w:rPr>
          <w:sz w:val="22"/>
          <w:szCs w:val="22"/>
          <w:u w:val="single"/>
        </w:rPr>
      </w:pPr>
      <w:r w:rsidRPr="007869AD">
        <w:rPr>
          <w:sz w:val="22"/>
          <w:szCs w:val="22"/>
          <w:u w:val="single"/>
        </w:rPr>
        <w:t xml:space="preserve">Land ownership: </w:t>
      </w:r>
    </w:p>
    <w:p w:rsidR="00D03761" w:rsidRPr="007869AD" w:rsidRDefault="008973A1" w:rsidP="007C2B43">
      <w:pPr>
        <w:pStyle w:val="ListParagraph"/>
        <w:widowControl/>
        <w:numPr>
          <w:ilvl w:val="0"/>
          <w:numId w:val="25"/>
        </w:numPr>
        <w:jc w:val="both"/>
        <w:rPr>
          <w:sz w:val="22"/>
          <w:szCs w:val="22"/>
        </w:rPr>
      </w:pPr>
      <w:r w:rsidRPr="007869AD">
        <w:rPr>
          <w:sz w:val="22"/>
          <w:szCs w:val="22"/>
        </w:rPr>
        <w:t>A</w:t>
      </w:r>
      <w:r w:rsidR="00D03761" w:rsidRPr="007869AD">
        <w:rPr>
          <w:sz w:val="22"/>
          <w:szCs w:val="22"/>
        </w:rPr>
        <w:t xml:space="preserve">dvocacy activities </w:t>
      </w:r>
    </w:p>
    <w:p w:rsidR="00D03761" w:rsidRPr="007869AD" w:rsidRDefault="008973A1" w:rsidP="007C2B43">
      <w:pPr>
        <w:pStyle w:val="ListParagraph"/>
        <w:widowControl/>
        <w:numPr>
          <w:ilvl w:val="0"/>
          <w:numId w:val="25"/>
        </w:numPr>
        <w:jc w:val="both"/>
        <w:rPr>
          <w:sz w:val="22"/>
          <w:szCs w:val="22"/>
        </w:rPr>
      </w:pPr>
      <w:r w:rsidRPr="007869AD">
        <w:rPr>
          <w:sz w:val="22"/>
          <w:szCs w:val="22"/>
        </w:rPr>
        <w:t>P</w:t>
      </w:r>
      <w:r w:rsidR="00D03761" w:rsidRPr="007869AD">
        <w:rPr>
          <w:sz w:val="22"/>
          <w:szCs w:val="22"/>
        </w:rPr>
        <w:t>ublic interest litigation</w:t>
      </w:r>
    </w:p>
    <w:p w:rsidR="00D03761" w:rsidRPr="007869AD" w:rsidRDefault="008973A1" w:rsidP="007C2B43">
      <w:pPr>
        <w:pStyle w:val="ListParagraph"/>
        <w:widowControl/>
        <w:numPr>
          <w:ilvl w:val="0"/>
          <w:numId w:val="25"/>
        </w:numPr>
        <w:jc w:val="both"/>
        <w:rPr>
          <w:sz w:val="22"/>
          <w:szCs w:val="22"/>
        </w:rPr>
      </w:pPr>
      <w:r w:rsidRPr="007869AD">
        <w:rPr>
          <w:sz w:val="22"/>
          <w:szCs w:val="22"/>
        </w:rPr>
        <w:t>M</w:t>
      </w:r>
      <w:r w:rsidR="00D03761" w:rsidRPr="007869AD">
        <w:rPr>
          <w:sz w:val="22"/>
          <w:szCs w:val="22"/>
        </w:rPr>
        <w:t>ediation and alternative dispute resolution</w:t>
      </w:r>
    </w:p>
    <w:p w:rsidR="00D03761" w:rsidRPr="007869AD" w:rsidRDefault="00D03761" w:rsidP="007C2B43">
      <w:pPr>
        <w:pStyle w:val="ListParagraph"/>
        <w:widowControl/>
        <w:numPr>
          <w:ilvl w:val="0"/>
          <w:numId w:val="25"/>
        </w:numPr>
        <w:jc w:val="both"/>
        <w:rPr>
          <w:sz w:val="22"/>
          <w:szCs w:val="22"/>
        </w:rPr>
      </w:pPr>
      <w:r w:rsidRPr="007869AD">
        <w:rPr>
          <w:sz w:val="22"/>
          <w:szCs w:val="22"/>
        </w:rPr>
        <w:t xml:space="preserve">Facilitation </w:t>
      </w:r>
      <w:r w:rsidR="008973A1" w:rsidRPr="007869AD">
        <w:rPr>
          <w:sz w:val="22"/>
          <w:szCs w:val="22"/>
        </w:rPr>
        <w:t xml:space="preserve">of access </w:t>
      </w:r>
      <w:r w:rsidRPr="007869AD">
        <w:rPr>
          <w:sz w:val="22"/>
          <w:szCs w:val="22"/>
        </w:rPr>
        <w:t>to title deeds</w:t>
      </w:r>
    </w:p>
    <w:p w:rsidR="00137026" w:rsidRDefault="00D03761" w:rsidP="007C2B43">
      <w:pPr>
        <w:pStyle w:val="ListParagraph"/>
        <w:widowControl/>
        <w:numPr>
          <w:ilvl w:val="0"/>
          <w:numId w:val="25"/>
        </w:numPr>
        <w:jc w:val="both"/>
        <w:rPr>
          <w:sz w:val="22"/>
          <w:szCs w:val="22"/>
        </w:rPr>
      </w:pPr>
      <w:r w:rsidRPr="007869AD">
        <w:rPr>
          <w:sz w:val="22"/>
          <w:szCs w:val="22"/>
        </w:rPr>
        <w:t>Women</w:t>
      </w:r>
      <w:r w:rsidR="004F4D85" w:rsidRPr="007869AD">
        <w:rPr>
          <w:sz w:val="22"/>
          <w:szCs w:val="22"/>
        </w:rPr>
        <w:t>’s</w:t>
      </w:r>
      <w:r w:rsidRPr="007869AD">
        <w:rPr>
          <w:sz w:val="22"/>
          <w:szCs w:val="22"/>
        </w:rPr>
        <w:t xml:space="preserve"> access to and control over land</w:t>
      </w:r>
      <w:r w:rsidR="004F4D85" w:rsidRPr="007869AD">
        <w:rPr>
          <w:sz w:val="22"/>
          <w:szCs w:val="22"/>
        </w:rPr>
        <w:t>.</w:t>
      </w:r>
    </w:p>
    <w:p w:rsidR="001F59C3" w:rsidRDefault="001F59C3" w:rsidP="007C2B43">
      <w:pPr>
        <w:pStyle w:val="NoSpacing"/>
        <w:jc w:val="both"/>
        <w:rPr>
          <w:sz w:val="22"/>
          <w:szCs w:val="22"/>
          <w:u w:val="single"/>
        </w:rPr>
      </w:pPr>
    </w:p>
    <w:p w:rsidR="00E16D65" w:rsidRPr="001F4A2D" w:rsidRDefault="00E16D65" w:rsidP="007C2B43">
      <w:pPr>
        <w:pStyle w:val="NoSpacing"/>
        <w:jc w:val="both"/>
        <w:rPr>
          <w:sz w:val="22"/>
          <w:szCs w:val="22"/>
          <w:u w:val="single"/>
        </w:rPr>
      </w:pPr>
      <w:r w:rsidRPr="001F4A2D">
        <w:rPr>
          <w:sz w:val="22"/>
          <w:szCs w:val="22"/>
          <w:u w:val="single"/>
        </w:rPr>
        <w:t>Nation-building and peaceful co-</w:t>
      </w:r>
      <w:r w:rsidR="0058437A" w:rsidRPr="001F4A2D">
        <w:rPr>
          <w:sz w:val="22"/>
          <w:szCs w:val="22"/>
          <w:u w:val="single"/>
        </w:rPr>
        <w:t>existence</w:t>
      </w:r>
      <w:r w:rsidR="001F4A2D" w:rsidRPr="001F4A2D">
        <w:rPr>
          <w:sz w:val="22"/>
          <w:szCs w:val="22"/>
          <w:u w:val="single"/>
        </w:rPr>
        <w:t>:</w:t>
      </w:r>
    </w:p>
    <w:p w:rsidR="00137026" w:rsidRPr="001F4A2D" w:rsidRDefault="00137026" w:rsidP="007C2B43">
      <w:pPr>
        <w:pStyle w:val="NoSpacing"/>
        <w:numPr>
          <w:ilvl w:val="0"/>
          <w:numId w:val="25"/>
        </w:numPr>
        <w:jc w:val="both"/>
        <w:rPr>
          <w:sz w:val="22"/>
          <w:szCs w:val="22"/>
        </w:rPr>
      </w:pPr>
      <w:r w:rsidRPr="001F4A2D">
        <w:rPr>
          <w:sz w:val="22"/>
          <w:szCs w:val="22"/>
        </w:rPr>
        <w:t>Addressing inequalities, promoting equality and respect for diversity</w:t>
      </w:r>
    </w:p>
    <w:p w:rsidR="00137026" w:rsidRDefault="00137026" w:rsidP="007C2B43">
      <w:pPr>
        <w:pStyle w:val="NoSpacing"/>
        <w:numPr>
          <w:ilvl w:val="0"/>
          <w:numId w:val="25"/>
        </w:numPr>
        <w:jc w:val="both"/>
        <w:rPr>
          <w:sz w:val="22"/>
          <w:szCs w:val="22"/>
        </w:rPr>
      </w:pPr>
      <w:r w:rsidRPr="001F4A2D">
        <w:rPr>
          <w:sz w:val="22"/>
          <w:szCs w:val="22"/>
        </w:rPr>
        <w:t>Combatting ethically-based social exclusion and intoleranc</w:t>
      </w:r>
      <w:r w:rsidR="0023310D" w:rsidRPr="001F4A2D">
        <w:rPr>
          <w:sz w:val="22"/>
          <w:szCs w:val="22"/>
        </w:rPr>
        <w:t>e</w:t>
      </w:r>
    </w:p>
    <w:p w:rsidR="0007052A" w:rsidRDefault="0007052A" w:rsidP="007C2B43">
      <w:pPr>
        <w:pStyle w:val="NoSpacing"/>
        <w:numPr>
          <w:ilvl w:val="0"/>
          <w:numId w:val="25"/>
        </w:numPr>
        <w:jc w:val="both"/>
        <w:rPr>
          <w:sz w:val="22"/>
          <w:szCs w:val="22"/>
        </w:rPr>
      </w:pPr>
      <w:r w:rsidRPr="001F4A2D">
        <w:rPr>
          <w:sz w:val="22"/>
          <w:szCs w:val="22"/>
        </w:rPr>
        <w:t>Promoting inter-ethnic understanding, communication and partnership</w:t>
      </w:r>
    </w:p>
    <w:p w:rsidR="00AD52D9" w:rsidRPr="00DD7216" w:rsidRDefault="00AD52D9" w:rsidP="007C2B43">
      <w:pPr>
        <w:pStyle w:val="NoSpacing"/>
        <w:numPr>
          <w:ilvl w:val="0"/>
          <w:numId w:val="25"/>
        </w:numPr>
        <w:jc w:val="both"/>
        <w:rPr>
          <w:sz w:val="22"/>
          <w:szCs w:val="22"/>
          <w:lang w:val="fr-BE"/>
        </w:rPr>
      </w:pPr>
      <w:r w:rsidRPr="00AD52D9">
        <w:rPr>
          <w:sz w:val="22"/>
          <w:szCs w:val="22"/>
          <w:lang w:val="fr-BE"/>
        </w:rPr>
        <w:t xml:space="preserve">Media promotions on social </w:t>
      </w:r>
      <w:proofErr w:type="spellStart"/>
      <w:r w:rsidRPr="00AD52D9">
        <w:rPr>
          <w:sz w:val="22"/>
          <w:szCs w:val="22"/>
          <w:lang w:val="fr-BE"/>
        </w:rPr>
        <w:t>cohesion</w:t>
      </w:r>
      <w:proofErr w:type="spellEnd"/>
      <w:r w:rsidRPr="00AD52D9">
        <w:rPr>
          <w:sz w:val="22"/>
          <w:szCs w:val="22"/>
          <w:lang w:val="fr-BE"/>
        </w:rPr>
        <w:t>/capital</w:t>
      </w:r>
    </w:p>
    <w:p w:rsidR="00137026" w:rsidRPr="001F4A2D" w:rsidRDefault="00137026" w:rsidP="007C2B43">
      <w:pPr>
        <w:pStyle w:val="NoSpacing"/>
        <w:numPr>
          <w:ilvl w:val="0"/>
          <w:numId w:val="25"/>
        </w:numPr>
        <w:jc w:val="both"/>
        <w:rPr>
          <w:sz w:val="22"/>
          <w:szCs w:val="22"/>
        </w:rPr>
      </w:pPr>
      <w:r w:rsidRPr="001F4A2D">
        <w:rPr>
          <w:sz w:val="22"/>
          <w:szCs w:val="22"/>
        </w:rPr>
        <w:t>Identification and promotion of good practices in social solidarity and nation building</w:t>
      </w:r>
    </w:p>
    <w:p w:rsidR="00137026" w:rsidRDefault="00137026" w:rsidP="007C2B43">
      <w:pPr>
        <w:pStyle w:val="NoSpacing"/>
        <w:numPr>
          <w:ilvl w:val="0"/>
          <w:numId w:val="25"/>
        </w:numPr>
        <w:jc w:val="both"/>
        <w:rPr>
          <w:sz w:val="22"/>
          <w:szCs w:val="22"/>
        </w:rPr>
      </w:pPr>
      <w:r w:rsidRPr="001F4A2D">
        <w:rPr>
          <w:sz w:val="22"/>
          <w:szCs w:val="22"/>
        </w:rPr>
        <w:t xml:space="preserve">Initiatives to bring all citizens closer to the Sate </w:t>
      </w:r>
      <w:r w:rsidR="00D5620E">
        <w:rPr>
          <w:sz w:val="22"/>
          <w:szCs w:val="22"/>
        </w:rPr>
        <w:t>in</w:t>
      </w:r>
      <w:r w:rsidRPr="001F4A2D">
        <w:rPr>
          <w:sz w:val="22"/>
          <w:szCs w:val="22"/>
        </w:rPr>
        <w:t xml:space="preserve"> building a collective future</w:t>
      </w:r>
    </w:p>
    <w:p w:rsidR="00D5620E" w:rsidRDefault="00D5620E" w:rsidP="007C2B43">
      <w:pPr>
        <w:pStyle w:val="NoSpacing"/>
        <w:numPr>
          <w:ilvl w:val="0"/>
          <w:numId w:val="25"/>
        </w:numPr>
        <w:jc w:val="both"/>
        <w:rPr>
          <w:sz w:val="22"/>
          <w:szCs w:val="22"/>
        </w:rPr>
      </w:pPr>
      <w:r>
        <w:rPr>
          <w:sz w:val="22"/>
          <w:szCs w:val="22"/>
        </w:rPr>
        <w:t>Conflict resolution, m</w:t>
      </w:r>
      <w:r w:rsidRPr="001F4A2D">
        <w:rPr>
          <w:sz w:val="22"/>
          <w:szCs w:val="22"/>
        </w:rPr>
        <w:t>ediation and alternative dispute resolution</w:t>
      </w:r>
    </w:p>
    <w:p w:rsidR="00D5620E" w:rsidRPr="001F4A2D" w:rsidRDefault="00D5620E" w:rsidP="007C2B43">
      <w:pPr>
        <w:pStyle w:val="NoSpacing"/>
        <w:numPr>
          <w:ilvl w:val="0"/>
          <w:numId w:val="25"/>
        </w:numPr>
        <w:jc w:val="both"/>
        <w:rPr>
          <w:sz w:val="22"/>
          <w:szCs w:val="22"/>
        </w:rPr>
      </w:pPr>
      <w:r w:rsidRPr="001F4A2D">
        <w:rPr>
          <w:sz w:val="22"/>
          <w:szCs w:val="22"/>
        </w:rPr>
        <w:t>Facilitating reconciliation processes and building positive relationships between people of different cultures at community level</w:t>
      </w:r>
    </w:p>
    <w:p w:rsidR="00D5620E" w:rsidRPr="001F4A2D" w:rsidRDefault="00D5620E" w:rsidP="007C2B43">
      <w:pPr>
        <w:pStyle w:val="NoSpacing"/>
        <w:numPr>
          <w:ilvl w:val="0"/>
          <w:numId w:val="25"/>
        </w:numPr>
        <w:jc w:val="both"/>
        <w:rPr>
          <w:sz w:val="22"/>
          <w:szCs w:val="22"/>
        </w:rPr>
      </w:pPr>
      <w:r w:rsidRPr="001F4A2D">
        <w:rPr>
          <w:sz w:val="22"/>
          <w:szCs w:val="22"/>
        </w:rPr>
        <w:t>Initiatives that reach across ethnic divides, especially targeting the youth and those most affected by conflict</w:t>
      </w:r>
      <w:r>
        <w:rPr>
          <w:sz w:val="22"/>
          <w:szCs w:val="22"/>
        </w:rPr>
        <w:t xml:space="preserve"> (</w:t>
      </w:r>
      <w:proofErr w:type="spellStart"/>
      <w:r>
        <w:rPr>
          <w:sz w:val="22"/>
          <w:szCs w:val="22"/>
        </w:rPr>
        <w:t>eg.</w:t>
      </w:r>
      <w:proofErr w:type="spellEnd"/>
      <w:r>
        <w:rPr>
          <w:sz w:val="22"/>
          <w:szCs w:val="22"/>
        </w:rPr>
        <w:t xml:space="preserve"> inter-regional dialogue fora, exchange visits, arts/culture/sports events</w:t>
      </w:r>
      <w:r w:rsidR="002D3F59">
        <w:rPr>
          <w:sz w:val="22"/>
          <w:szCs w:val="22"/>
        </w:rPr>
        <w:t>)</w:t>
      </w:r>
      <w:r>
        <w:rPr>
          <w:sz w:val="22"/>
          <w:szCs w:val="22"/>
        </w:rPr>
        <w:t>.</w:t>
      </w:r>
    </w:p>
    <w:p w:rsidR="00137026" w:rsidRPr="001F4A2D" w:rsidRDefault="00137026" w:rsidP="007C2B43">
      <w:pPr>
        <w:pStyle w:val="NoSpacing"/>
        <w:jc w:val="both"/>
        <w:rPr>
          <w:sz w:val="22"/>
          <w:szCs w:val="22"/>
          <w:u w:val="single"/>
        </w:rPr>
      </w:pPr>
    </w:p>
    <w:p w:rsidR="00D03761" w:rsidRPr="007869AD" w:rsidRDefault="00D03761" w:rsidP="007C2B43">
      <w:pPr>
        <w:widowControl/>
        <w:jc w:val="both"/>
        <w:rPr>
          <w:b/>
          <w:sz w:val="22"/>
          <w:szCs w:val="22"/>
          <w:u w:val="single"/>
        </w:rPr>
      </w:pPr>
      <w:r w:rsidRPr="007869AD">
        <w:rPr>
          <w:b/>
          <w:sz w:val="22"/>
          <w:szCs w:val="22"/>
          <w:u w:val="single"/>
        </w:rPr>
        <w:t>Lot 2: Service Delivery</w:t>
      </w:r>
      <w:r w:rsidR="00415AF1">
        <w:rPr>
          <w:b/>
          <w:sz w:val="22"/>
          <w:szCs w:val="22"/>
          <w:u w:val="single"/>
        </w:rPr>
        <w:t xml:space="preserve"> and Community Engagement</w:t>
      </w:r>
      <w:r w:rsidRPr="007869AD">
        <w:rPr>
          <w:b/>
          <w:sz w:val="22"/>
          <w:szCs w:val="22"/>
          <w:u w:val="single"/>
        </w:rPr>
        <w:t xml:space="preserve"> </w:t>
      </w:r>
    </w:p>
    <w:p w:rsidR="00415AF1" w:rsidRPr="001F59C3" w:rsidRDefault="00415AF1" w:rsidP="007C2B43">
      <w:pPr>
        <w:jc w:val="both"/>
        <w:rPr>
          <w:sz w:val="22"/>
          <w:szCs w:val="22"/>
        </w:rPr>
      </w:pPr>
      <w:r w:rsidRPr="001F59C3">
        <w:rPr>
          <w:sz w:val="22"/>
          <w:szCs w:val="22"/>
        </w:rPr>
        <w:t xml:space="preserve">To contribute to the development process of the country, the goals of the Growth and Transformation Plan II, and to play their part in poverty alleviation, CSOs should engage </w:t>
      </w:r>
      <w:r w:rsidR="001F59C3" w:rsidRPr="001F59C3">
        <w:rPr>
          <w:sz w:val="22"/>
          <w:szCs w:val="22"/>
        </w:rPr>
        <w:t>in service</w:t>
      </w:r>
      <w:r w:rsidRPr="001F59C3">
        <w:rPr>
          <w:sz w:val="22"/>
          <w:szCs w:val="22"/>
        </w:rPr>
        <w:t xml:space="preserve"> delivery for citizens in need, and especially vulnerable groups (including women; children; the elderly; youth; those with disabilities and </w:t>
      </w:r>
      <w:r w:rsidRPr="001F59C3">
        <w:rPr>
          <w:sz w:val="22"/>
          <w:szCs w:val="22"/>
        </w:rPr>
        <w:lastRenderedPageBreak/>
        <w:t xml:space="preserve">pastoralists, etc), involving and strengthening the role of the community and citizens in the process. Innovative approaches with the potential to generate lessons relevant to higher, policy levels, are particularly encouraged. </w:t>
      </w:r>
    </w:p>
    <w:p w:rsidR="00415AF1" w:rsidRDefault="00415AF1" w:rsidP="007C2B43">
      <w:pPr>
        <w:jc w:val="both"/>
        <w:rPr>
          <w:sz w:val="22"/>
          <w:szCs w:val="22"/>
        </w:rPr>
      </w:pPr>
    </w:p>
    <w:p w:rsidR="00D03761" w:rsidRPr="007869AD" w:rsidRDefault="00D03761" w:rsidP="007C2B43">
      <w:pPr>
        <w:jc w:val="both"/>
        <w:rPr>
          <w:sz w:val="22"/>
          <w:szCs w:val="22"/>
          <w:u w:val="single"/>
        </w:rPr>
      </w:pPr>
      <w:r w:rsidRPr="007869AD">
        <w:rPr>
          <w:sz w:val="22"/>
          <w:szCs w:val="22"/>
          <w:u w:val="single"/>
        </w:rPr>
        <w:t xml:space="preserve">Access to justice: </w:t>
      </w:r>
    </w:p>
    <w:p w:rsidR="00D03761" w:rsidRPr="00995669" w:rsidRDefault="004F4D85" w:rsidP="007C2B43">
      <w:pPr>
        <w:pStyle w:val="ListParagraph"/>
        <w:widowControl/>
        <w:numPr>
          <w:ilvl w:val="0"/>
          <w:numId w:val="25"/>
        </w:numPr>
        <w:jc w:val="both"/>
        <w:rPr>
          <w:sz w:val="22"/>
          <w:szCs w:val="22"/>
        </w:rPr>
      </w:pPr>
      <w:r w:rsidRPr="00995669">
        <w:rPr>
          <w:sz w:val="22"/>
          <w:szCs w:val="22"/>
        </w:rPr>
        <w:t xml:space="preserve">Establishment of </w:t>
      </w:r>
      <w:r w:rsidR="00D03761" w:rsidRPr="00995669">
        <w:rPr>
          <w:sz w:val="22"/>
          <w:szCs w:val="22"/>
        </w:rPr>
        <w:t xml:space="preserve">legal aid </w:t>
      </w:r>
      <w:r w:rsidR="00397F3C" w:rsidRPr="00995669">
        <w:rPr>
          <w:sz w:val="22"/>
          <w:szCs w:val="22"/>
        </w:rPr>
        <w:t>centres</w:t>
      </w:r>
      <w:r w:rsidR="003347A5" w:rsidRPr="00995669">
        <w:rPr>
          <w:sz w:val="22"/>
          <w:szCs w:val="22"/>
        </w:rPr>
        <w:t>/</w:t>
      </w:r>
      <w:r w:rsidR="00D03761" w:rsidRPr="00995669">
        <w:rPr>
          <w:sz w:val="22"/>
          <w:szCs w:val="22"/>
        </w:rPr>
        <w:t>clinics</w:t>
      </w:r>
      <w:r w:rsidR="00995669" w:rsidRPr="00995669">
        <w:rPr>
          <w:sz w:val="22"/>
          <w:szCs w:val="22"/>
        </w:rPr>
        <w:t xml:space="preserve"> / </w:t>
      </w:r>
      <w:r w:rsidR="00D03761" w:rsidRPr="00995669">
        <w:rPr>
          <w:sz w:val="22"/>
          <w:szCs w:val="22"/>
        </w:rPr>
        <w:t>Provision of legal aid</w:t>
      </w:r>
      <w:r w:rsidR="00DD7216">
        <w:rPr>
          <w:sz w:val="22"/>
          <w:szCs w:val="22"/>
        </w:rPr>
        <w:t xml:space="preserve"> / Rights education</w:t>
      </w:r>
    </w:p>
    <w:p w:rsidR="00D03761" w:rsidRPr="007869AD" w:rsidRDefault="004F4D85" w:rsidP="007C2B43">
      <w:pPr>
        <w:pStyle w:val="ListParagraph"/>
        <w:widowControl/>
        <w:numPr>
          <w:ilvl w:val="0"/>
          <w:numId w:val="25"/>
        </w:numPr>
        <w:jc w:val="both"/>
        <w:rPr>
          <w:sz w:val="22"/>
          <w:szCs w:val="22"/>
        </w:rPr>
      </w:pPr>
      <w:r w:rsidRPr="007869AD">
        <w:rPr>
          <w:sz w:val="22"/>
          <w:szCs w:val="22"/>
        </w:rPr>
        <w:t>P</w:t>
      </w:r>
      <w:r w:rsidR="00D03761" w:rsidRPr="007869AD">
        <w:rPr>
          <w:sz w:val="22"/>
          <w:szCs w:val="22"/>
        </w:rPr>
        <w:t>ublic interest litigation</w:t>
      </w:r>
    </w:p>
    <w:p w:rsidR="00D03761" w:rsidRPr="007869AD" w:rsidRDefault="004F4D85" w:rsidP="007C2B43">
      <w:pPr>
        <w:pStyle w:val="ListParagraph"/>
        <w:widowControl/>
        <w:numPr>
          <w:ilvl w:val="0"/>
          <w:numId w:val="25"/>
        </w:numPr>
        <w:jc w:val="both"/>
        <w:rPr>
          <w:sz w:val="22"/>
          <w:szCs w:val="22"/>
        </w:rPr>
      </w:pPr>
      <w:r w:rsidRPr="007869AD">
        <w:rPr>
          <w:sz w:val="22"/>
          <w:szCs w:val="22"/>
        </w:rPr>
        <w:t>C</w:t>
      </w:r>
      <w:r w:rsidR="00D03761" w:rsidRPr="007869AD">
        <w:rPr>
          <w:sz w:val="22"/>
          <w:szCs w:val="22"/>
        </w:rPr>
        <w:t>hild friendly courts</w:t>
      </w:r>
    </w:p>
    <w:p w:rsidR="00D03761" w:rsidRPr="007869AD" w:rsidRDefault="004F4D85" w:rsidP="007C2B43">
      <w:pPr>
        <w:pStyle w:val="ListParagraph"/>
        <w:widowControl/>
        <w:numPr>
          <w:ilvl w:val="0"/>
          <w:numId w:val="25"/>
        </w:numPr>
        <w:jc w:val="both"/>
        <w:rPr>
          <w:sz w:val="22"/>
          <w:szCs w:val="22"/>
        </w:rPr>
      </w:pPr>
      <w:r w:rsidRPr="007869AD">
        <w:rPr>
          <w:sz w:val="22"/>
          <w:szCs w:val="22"/>
        </w:rPr>
        <w:t>T</w:t>
      </w:r>
      <w:r w:rsidR="00D03761" w:rsidRPr="007869AD">
        <w:rPr>
          <w:sz w:val="22"/>
          <w:szCs w:val="22"/>
        </w:rPr>
        <w:t xml:space="preserve">raining for justice stakeholders </w:t>
      </w:r>
    </w:p>
    <w:p w:rsidR="00D03761" w:rsidRPr="007869AD" w:rsidRDefault="004F4D85" w:rsidP="007C2B43">
      <w:pPr>
        <w:pStyle w:val="ListParagraph"/>
        <w:widowControl/>
        <w:numPr>
          <w:ilvl w:val="0"/>
          <w:numId w:val="25"/>
        </w:numPr>
        <w:jc w:val="both"/>
        <w:rPr>
          <w:sz w:val="22"/>
          <w:szCs w:val="22"/>
        </w:rPr>
      </w:pPr>
      <w:r w:rsidRPr="007869AD">
        <w:rPr>
          <w:sz w:val="22"/>
          <w:szCs w:val="22"/>
        </w:rPr>
        <w:t>L</w:t>
      </w:r>
      <w:r w:rsidR="00D03761" w:rsidRPr="007869AD">
        <w:rPr>
          <w:sz w:val="22"/>
          <w:szCs w:val="22"/>
        </w:rPr>
        <w:t>egal and psychosocial support for torture victims</w:t>
      </w:r>
    </w:p>
    <w:p w:rsidR="00D03761" w:rsidRDefault="004F4D85" w:rsidP="007C2B43">
      <w:pPr>
        <w:pStyle w:val="ListParagraph"/>
        <w:widowControl/>
        <w:numPr>
          <w:ilvl w:val="0"/>
          <w:numId w:val="25"/>
        </w:numPr>
        <w:jc w:val="both"/>
        <w:rPr>
          <w:sz w:val="22"/>
          <w:szCs w:val="22"/>
        </w:rPr>
      </w:pPr>
      <w:r w:rsidRPr="007869AD">
        <w:rPr>
          <w:sz w:val="22"/>
          <w:szCs w:val="22"/>
        </w:rPr>
        <w:t>W</w:t>
      </w:r>
      <w:r w:rsidR="00D03761" w:rsidRPr="007869AD">
        <w:rPr>
          <w:sz w:val="22"/>
          <w:szCs w:val="22"/>
        </w:rPr>
        <w:t>orkers’ rights</w:t>
      </w:r>
      <w:r w:rsidRPr="007869AD">
        <w:rPr>
          <w:sz w:val="22"/>
          <w:szCs w:val="22"/>
        </w:rPr>
        <w:t>.</w:t>
      </w:r>
    </w:p>
    <w:p w:rsidR="00415AF1" w:rsidRDefault="00415AF1" w:rsidP="007C2B43">
      <w:pPr>
        <w:jc w:val="both"/>
        <w:rPr>
          <w:sz w:val="22"/>
          <w:szCs w:val="22"/>
          <w:u w:val="single"/>
        </w:rPr>
      </w:pPr>
    </w:p>
    <w:p w:rsidR="001F59C3" w:rsidRPr="007869AD" w:rsidRDefault="001F59C3" w:rsidP="007C2B43">
      <w:pPr>
        <w:jc w:val="both"/>
        <w:rPr>
          <w:sz w:val="22"/>
          <w:szCs w:val="22"/>
          <w:u w:val="single"/>
        </w:rPr>
      </w:pPr>
      <w:r w:rsidRPr="007869AD">
        <w:rPr>
          <w:sz w:val="22"/>
          <w:szCs w:val="22"/>
          <w:u w:val="single"/>
        </w:rPr>
        <w:t xml:space="preserve">Environment and Natural </w:t>
      </w:r>
      <w:r>
        <w:rPr>
          <w:sz w:val="22"/>
          <w:szCs w:val="22"/>
          <w:u w:val="single"/>
        </w:rPr>
        <w:t>R</w:t>
      </w:r>
      <w:r w:rsidRPr="007869AD">
        <w:rPr>
          <w:sz w:val="22"/>
          <w:szCs w:val="22"/>
          <w:u w:val="single"/>
        </w:rPr>
        <w:t>esource</w:t>
      </w:r>
      <w:r>
        <w:rPr>
          <w:sz w:val="22"/>
          <w:szCs w:val="22"/>
          <w:u w:val="single"/>
        </w:rPr>
        <w:t>s Management</w:t>
      </w:r>
      <w:r w:rsidRPr="007869AD">
        <w:rPr>
          <w:sz w:val="22"/>
          <w:szCs w:val="22"/>
          <w:u w:val="single"/>
        </w:rPr>
        <w:t>:</w:t>
      </w:r>
    </w:p>
    <w:p w:rsidR="001F59C3" w:rsidRPr="007869AD" w:rsidRDefault="001F59C3" w:rsidP="007C2B43">
      <w:pPr>
        <w:pStyle w:val="ListParagraph"/>
        <w:widowControl/>
        <w:numPr>
          <w:ilvl w:val="0"/>
          <w:numId w:val="25"/>
        </w:numPr>
        <w:spacing w:after="160"/>
        <w:jc w:val="both"/>
        <w:rPr>
          <w:sz w:val="22"/>
          <w:szCs w:val="22"/>
        </w:rPr>
      </w:pPr>
      <w:r w:rsidRPr="007869AD">
        <w:rPr>
          <w:sz w:val="22"/>
          <w:szCs w:val="22"/>
        </w:rPr>
        <w:t>Resilience building</w:t>
      </w:r>
    </w:p>
    <w:p w:rsidR="001F59C3" w:rsidRPr="007869AD" w:rsidRDefault="001F59C3" w:rsidP="007C2B43">
      <w:pPr>
        <w:pStyle w:val="ListParagraph"/>
        <w:widowControl/>
        <w:numPr>
          <w:ilvl w:val="0"/>
          <w:numId w:val="25"/>
        </w:numPr>
        <w:spacing w:after="160"/>
        <w:jc w:val="both"/>
        <w:rPr>
          <w:sz w:val="22"/>
          <w:szCs w:val="22"/>
        </w:rPr>
      </w:pPr>
      <w:r w:rsidRPr="007869AD">
        <w:rPr>
          <w:sz w:val="22"/>
          <w:szCs w:val="22"/>
        </w:rPr>
        <w:t>Climate change mitigation and adaption</w:t>
      </w:r>
    </w:p>
    <w:p w:rsidR="001F59C3" w:rsidRPr="007869AD" w:rsidRDefault="001F59C3" w:rsidP="007C2B43">
      <w:pPr>
        <w:pStyle w:val="ListParagraph"/>
        <w:widowControl/>
        <w:numPr>
          <w:ilvl w:val="0"/>
          <w:numId w:val="25"/>
        </w:numPr>
        <w:spacing w:after="160"/>
        <w:jc w:val="both"/>
        <w:rPr>
          <w:sz w:val="22"/>
          <w:szCs w:val="22"/>
        </w:rPr>
      </w:pPr>
      <w:r>
        <w:rPr>
          <w:sz w:val="22"/>
          <w:szCs w:val="22"/>
        </w:rPr>
        <w:t>Forest management, including a</w:t>
      </w:r>
      <w:r w:rsidRPr="007869AD">
        <w:rPr>
          <w:sz w:val="22"/>
          <w:szCs w:val="22"/>
        </w:rPr>
        <w:t xml:space="preserve">fforestation and </w:t>
      </w:r>
      <w:r>
        <w:rPr>
          <w:sz w:val="22"/>
          <w:szCs w:val="22"/>
        </w:rPr>
        <w:t>r</w:t>
      </w:r>
      <w:r w:rsidRPr="007869AD">
        <w:rPr>
          <w:sz w:val="22"/>
          <w:szCs w:val="22"/>
        </w:rPr>
        <w:t>eforestation</w:t>
      </w:r>
    </w:p>
    <w:p w:rsidR="001F59C3" w:rsidRPr="007869AD" w:rsidRDefault="001F59C3" w:rsidP="007C2B43">
      <w:pPr>
        <w:pStyle w:val="ListParagraph"/>
        <w:widowControl/>
        <w:numPr>
          <w:ilvl w:val="0"/>
          <w:numId w:val="25"/>
        </w:numPr>
        <w:spacing w:after="160"/>
        <w:jc w:val="both"/>
        <w:rPr>
          <w:sz w:val="22"/>
          <w:szCs w:val="22"/>
        </w:rPr>
      </w:pPr>
      <w:r w:rsidRPr="007869AD">
        <w:rPr>
          <w:sz w:val="22"/>
          <w:szCs w:val="22"/>
        </w:rPr>
        <w:t>Fodder tree planting</w:t>
      </w:r>
      <w:r>
        <w:rPr>
          <w:sz w:val="22"/>
          <w:szCs w:val="22"/>
        </w:rPr>
        <w:t xml:space="preserve"> </w:t>
      </w:r>
    </w:p>
    <w:p w:rsidR="001F59C3" w:rsidRPr="007869AD" w:rsidRDefault="001F59C3" w:rsidP="007C2B43">
      <w:pPr>
        <w:pStyle w:val="ListParagraph"/>
        <w:widowControl/>
        <w:numPr>
          <w:ilvl w:val="0"/>
          <w:numId w:val="25"/>
        </w:numPr>
        <w:spacing w:after="160"/>
        <w:jc w:val="both"/>
        <w:rPr>
          <w:sz w:val="22"/>
          <w:szCs w:val="22"/>
        </w:rPr>
      </w:pPr>
      <w:r>
        <w:rPr>
          <w:sz w:val="22"/>
          <w:szCs w:val="22"/>
        </w:rPr>
        <w:t>Community participation and engagement strategies</w:t>
      </w:r>
    </w:p>
    <w:p w:rsidR="001F59C3" w:rsidRPr="00397F3C" w:rsidRDefault="001F59C3" w:rsidP="007C2B43">
      <w:pPr>
        <w:pStyle w:val="ListParagraph"/>
        <w:widowControl/>
        <w:numPr>
          <w:ilvl w:val="0"/>
          <w:numId w:val="25"/>
        </w:numPr>
        <w:spacing w:after="160"/>
        <w:jc w:val="both"/>
        <w:rPr>
          <w:sz w:val="22"/>
          <w:szCs w:val="22"/>
        </w:rPr>
      </w:pPr>
      <w:r w:rsidRPr="00397F3C">
        <w:rPr>
          <w:sz w:val="22"/>
          <w:szCs w:val="22"/>
        </w:rPr>
        <w:t>Promotion of renewable and appropriate (climate smart) technologies</w:t>
      </w:r>
    </w:p>
    <w:p w:rsidR="001F59C3" w:rsidRPr="007869AD" w:rsidRDefault="001F59C3" w:rsidP="007C2B43">
      <w:pPr>
        <w:pStyle w:val="ListParagraph"/>
        <w:widowControl/>
        <w:numPr>
          <w:ilvl w:val="0"/>
          <w:numId w:val="25"/>
        </w:numPr>
        <w:spacing w:after="160"/>
        <w:jc w:val="both"/>
        <w:rPr>
          <w:sz w:val="22"/>
          <w:szCs w:val="22"/>
        </w:rPr>
      </w:pPr>
      <w:r w:rsidRPr="00190652">
        <w:rPr>
          <w:sz w:val="22"/>
          <w:szCs w:val="22"/>
        </w:rPr>
        <w:t>Actions related to Ethiopian Extractive Industries Transparency Initiative (EEITI)</w:t>
      </w:r>
    </w:p>
    <w:p w:rsidR="001F59C3" w:rsidRPr="007869AD" w:rsidRDefault="001F59C3" w:rsidP="007C2B43">
      <w:pPr>
        <w:pStyle w:val="ListParagraph"/>
        <w:widowControl/>
        <w:numPr>
          <w:ilvl w:val="0"/>
          <w:numId w:val="25"/>
        </w:numPr>
        <w:spacing w:after="160"/>
        <w:jc w:val="both"/>
        <w:rPr>
          <w:sz w:val="22"/>
          <w:szCs w:val="22"/>
        </w:rPr>
      </w:pPr>
      <w:r w:rsidRPr="007869AD">
        <w:rPr>
          <w:sz w:val="22"/>
          <w:szCs w:val="22"/>
        </w:rPr>
        <w:t>Develop</w:t>
      </w:r>
      <w:r>
        <w:rPr>
          <w:sz w:val="22"/>
          <w:szCs w:val="22"/>
        </w:rPr>
        <w:t>ment</w:t>
      </w:r>
      <w:r w:rsidRPr="007869AD">
        <w:rPr>
          <w:sz w:val="22"/>
          <w:szCs w:val="22"/>
        </w:rPr>
        <w:t xml:space="preserve"> and implement</w:t>
      </w:r>
      <w:r>
        <w:rPr>
          <w:sz w:val="22"/>
          <w:szCs w:val="22"/>
        </w:rPr>
        <w:t xml:space="preserve">ation of </w:t>
      </w:r>
      <w:r w:rsidRPr="007869AD">
        <w:rPr>
          <w:sz w:val="22"/>
          <w:szCs w:val="22"/>
        </w:rPr>
        <w:t>strategies that range from conservation/reclamation works, enforcement of environmental laws/norms and demanding accountability from responsible entities</w:t>
      </w:r>
    </w:p>
    <w:p w:rsidR="001F59C3" w:rsidRPr="009976FD" w:rsidRDefault="001F59C3" w:rsidP="007C2B43">
      <w:pPr>
        <w:pStyle w:val="ListParagraph"/>
        <w:widowControl/>
        <w:numPr>
          <w:ilvl w:val="0"/>
          <w:numId w:val="25"/>
        </w:numPr>
        <w:spacing w:after="160"/>
        <w:jc w:val="both"/>
        <w:rPr>
          <w:sz w:val="22"/>
          <w:szCs w:val="22"/>
        </w:rPr>
      </w:pPr>
      <w:r w:rsidRPr="007869AD">
        <w:rPr>
          <w:sz w:val="22"/>
          <w:szCs w:val="22"/>
        </w:rPr>
        <w:t>Horticultural crops production</w:t>
      </w:r>
      <w:r>
        <w:rPr>
          <w:sz w:val="22"/>
          <w:szCs w:val="22"/>
        </w:rPr>
        <w:t xml:space="preserve"> and i</w:t>
      </w:r>
      <w:r w:rsidRPr="009976FD">
        <w:rPr>
          <w:sz w:val="22"/>
          <w:szCs w:val="22"/>
        </w:rPr>
        <w:t>mproved agricultural methods and their promotion</w:t>
      </w:r>
      <w:r w:rsidR="002D3F59">
        <w:rPr>
          <w:sz w:val="22"/>
          <w:szCs w:val="22"/>
        </w:rPr>
        <w:t>.</w:t>
      </w:r>
    </w:p>
    <w:p w:rsidR="00060CFB" w:rsidRDefault="00060CFB" w:rsidP="007C2B43">
      <w:pPr>
        <w:jc w:val="both"/>
        <w:rPr>
          <w:sz w:val="22"/>
          <w:szCs w:val="22"/>
          <w:u w:val="single"/>
        </w:rPr>
      </w:pPr>
    </w:p>
    <w:p w:rsidR="00D03761" w:rsidRPr="007869AD" w:rsidRDefault="00D03761" w:rsidP="007C2B43">
      <w:pPr>
        <w:jc w:val="both"/>
        <w:rPr>
          <w:sz w:val="22"/>
          <w:szCs w:val="22"/>
          <w:u w:val="single"/>
        </w:rPr>
      </w:pPr>
      <w:r w:rsidRPr="007869AD">
        <w:rPr>
          <w:sz w:val="22"/>
          <w:szCs w:val="22"/>
          <w:u w:val="single"/>
        </w:rPr>
        <w:t>Pastoralism and villagization</w:t>
      </w:r>
      <w:r w:rsidR="001F4A2D">
        <w:rPr>
          <w:sz w:val="22"/>
          <w:szCs w:val="22"/>
          <w:u w:val="single"/>
        </w:rPr>
        <w:t>:</w:t>
      </w:r>
    </w:p>
    <w:p w:rsidR="00D5620E" w:rsidRDefault="001F59C3" w:rsidP="007C2B43">
      <w:pPr>
        <w:pStyle w:val="ListParagraph"/>
        <w:widowControl/>
        <w:numPr>
          <w:ilvl w:val="0"/>
          <w:numId w:val="25"/>
        </w:numPr>
        <w:jc w:val="both"/>
        <w:rPr>
          <w:sz w:val="22"/>
          <w:szCs w:val="22"/>
        </w:rPr>
      </w:pPr>
      <w:r>
        <w:rPr>
          <w:sz w:val="22"/>
          <w:szCs w:val="22"/>
        </w:rPr>
        <w:t>A</w:t>
      </w:r>
      <w:r w:rsidR="00D03761" w:rsidRPr="00D5620E">
        <w:rPr>
          <w:sz w:val="22"/>
          <w:szCs w:val="22"/>
        </w:rPr>
        <w:t>daptation to new settings</w:t>
      </w:r>
    </w:p>
    <w:p w:rsidR="00D5620E" w:rsidRPr="00D5620E" w:rsidRDefault="00D5620E" w:rsidP="007C2B43">
      <w:pPr>
        <w:pStyle w:val="ListParagraph"/>
        <w:widowControl/>
        <w:numPr>
          <w:ilvl w:val="0"/>
          <w:numId w:val="25"/>
        </w:numPr>
        <w:jc w:val="both"/>
        <w:rPr>
          <w:sz w:val="22"/>
          <w:szCs w:val="22"/>
        </w:rPr>
      </w:pPr>
      <w:r w:rsidRPr="00D5620E">
        <w:rPr>
          <w:sz w:val="22"/>
          <w:szCs w:val="22"/>
        </w:rPr>
        <w:t xml:space="preserve">Pastoralist initiatives to address resource limitations </w:t>
      </w:r>
    </w:p>
    <w:p w:rsidR="00D03761" w:rsidRPr="00E0464E" w:rsidRDefault="00176237" w:rsidP="007C2B43">
      <w:pPr>
        <w:pStyle w:val="ListParagraph"/>
        <w:widowControl/>
        <w:numPr>
          <w:ilvl w:val="0"/>
          <w:numId w:val="25"/>
        </w:numPr>
        <w:jc w:val="both"/>
        <w:rPr>
          <w:color w:val="auto"/>
          <w:sz w:val="22"/>
          <w:szCs w:val="22"/>
        </w:rPr>
      </w:pPr>
      <w:r w:rsidRPr="00E0464E">
        <w:rPr>
          <w:color w:val="auto"/>
          <w:sz w:val="22"/>
          <w:szCs w:val="22"/>
        </w:rPr>
        <w:t>Actions that en</w:t>
      </w:r>
      <w:r w:rsidR="00BD345D" w:rsidRPr="00E0464E">
        <w:rPr>
          <w:color w:val="auto"/>
          <w:sz w:val="22"/>
          <w:szCs w:val="22"/>
        </w:rPr>
        <w:t>sure</w:t>
      </w:r>
      <w:r w:rsidRPr="00E0464E">
        <w:rPr>
          <w:color w:val="auto"/>
          <w:sz w:val="22"/>
          <w:szCs w:val="22"/>
        </w:rPr>
        <w:t xml:space="preserve"> agricultural productivity increases in pastoral communities</w:t>
      </w:r>
      <w:r w:rsidR="002D3F59">
        <w:rPr>
          <w:color w:val="auto"/>
          <w:sz w:val="22"/>
          <w:szCs w:val="22"/>
        </w:rPr>
        <w:t>.</w:t>
      </w:r>
      <w:r w:rsidRPr="00E0464E">
        <w:rPr>
          <w:color w:val="auto"/>
          <w:sz w:val="22"/>
          <w:szCs w:val="22"/>
        </w:rPr>
        <w:t xml:space="preserve"> </w:t>
      </w:r>
    </w:p>
    <w:p w:rsidR="00307B6B" w:rsidRPr="007869AD" w:rsidRDefault="00307B6B" w:rsidP="007C2B43">
      <w:pPr>
        <w:ind w:left="720"/>
        <w:jc w:val="both"/>
        <w:rPr>
          <w:sz w:val="22"/>
          <w:szCs w:val="22"/>
        </w:rPr>
      </w:pPr>
    </w:p>
    <w:p w:rsidR="00D03761" w:rsidRPr="007869AD" w:rsidRDefault="00D03761" w:rsidP="007C2B43">
      <w:pPr>
        <w:jc w:val="both"/>
        <w:rPr>
          <w:sz w:val="22"/>
          <w:szCs w:val="22"/>
          <w:u w:val="single"/>
        </w:rPr>
      </w:pPr>
      <w:r w:rsidRPr="007869AD">
        <w:rPr>
          <w:sz w:val="22"/>
          <w:szCs w:val="22"/>
          <w:u w:val="single"/>
        </w:rPr>
        <w:t>Vulnerable citizens/disable</w:t>
      </w:r>
      <w:r w:rsidR="00307B6B" w:rsidRPr="007869AD">
        <w:rPr>
          <w:sz w:val="22"/>
          <w:szCs w:val="22"/>
          <w:u w:val="single"/>
        </w:rPr>
        <w:t>d</w:t>
      </w:r>
      <w:r w:rsidRPr="007869AD">
        <w:rPr>
          <w:sz w:val="22"/>
          <w:szCs w:val="22"/>
          <w:u w:val="single"/>
        </w:rPr>
        <w:t xml:space="preserve"> citizens/indigenous groups</w:t>
      </w:r>
    </w:p>
    <w:p w:rsidR="00D03761" w:rsidRPr="007869AD" w:rsidRDefault="00307B6B" w:rsidP="007C2B43">
      <w:pPr>
        <w:pStyle w:val="ListParagraph"/>
        <w:widowControl/>
        <w:numPr>
          <w:ilvl w:val="0"/>
          <w:numId w:val="25"/>
        </w:numPr>
        <w:jc w:val="both"/>
        <w:rPr>
          <w:sz w:val="22"/>
          <w:szCs w:val="22"/>
        </w:rPr>
      </w:pPr>
      <w:r w:rsidRPr="007869AD">
        <w:rPr>
          <w:sz w:val="22"/>
          <w:szCs w:val="22"/>
        </w:rPr>
        <w:t>P</w:t>
      </w:r>
      <w:r w:rsidR="00D03761" w:rsidRPr="007869AD">
        <w:rPr>
          <w:sz w:val="22"/>
          <w:szCs w:val="22"/>
        </w:rPr>
        <w:t>rovision of legal/social/medical services</w:t>
      </w:r>
    </w:p>
    <w:p w:rsidR="00D03761" w:rsidRPr="007869AD" w:rsidRDefault="00D03761" w:rsidP="007C2B43">
      <w:pPr>
        <w:pStyle w:val="ListParagraph"/>
        <w:widowControl/>
        <w:numPr>
          <w:ilvl w:val="0"/>
          <w:numId w:val="25"/>
        </w:numPr>
        <w:jc w:val="both"/>
        <w:rPr>
          <w:sz w:val="22"/>
          <w:szCs w:val="22"/>
        </w:rPr>
      </w:pPr>
      <w:r w:rsidRPr="007869AD">
        <w:rPr>
          <w:sz w:val="22"/>
          <w:szCs w:val="22"/>
        </w:rPr>
        <w:t>Economic empowerment</w:t>
      </w:r>
      <w:bookmarkStart w:id="25" w:name="_Hlk536627154"/>
    </w:p>
    <w:bookmarkEnd w:id="25"/>
    <w:p w:rsidR="00307B6B" w:rsidRPr="007869AD" w:rsidRDefault="00D03761" w:rsidP="007C2B43">
      <w:pPr>
        <w:pStyle w:val="ListParagraph"/>
        <w:widowControl/>
        <w:numPr>
          <w:ilvl w:val="0"/>
          <w:numId w:val="25"/>
        </w:numPr>
        <w:jc w:val="both"/>
        <w:rPr>
          <w:sz w:val="22"/>
          <w:szCs w:val="22"/>
        </w:rPr>
      </w:pPr>
      <w:r w:rsidRPr="007869AD">
        <w:rPr>
          <w:sz w:val="22"/>
          <w:szCs w:val="22"/>
        </w:rPr>
        <w:t>Education, especially mother tongue training</w:t>
      </w:r>
    </w:p>
    <w:p w:rsidR="00D5620E" w:rsidRDefault="00307B6B" w:rsidP="007C2B43">
      <w:pPr>
        <w:pStyle w:val="ListParagraph"/>
        <w:widowControl/>
        <w:numPr>
          <w:ilvl w:val="0"/>
          <w:numId w:val="25"/>
        </w:numPr>
        <w:jc w:val="both"/>
        <w:rPr>
          <w:sz w:val="22"/>
          <w:szCs w:val="22"/>
        </w:rPr>
      </w:pPr>
      <w:r w:rsidRPr="00D5620E">
        <w:rPr>
          <w:sz w:val="22"/>
          <w:szCs w:val="22"/>
        </w:rPr>
        <w:t>C</w:t>
      </w:r>
      <w:r w:rsidR="00D03761" w:rsidRPr="00D5620E">
        <w:rPr>
          <w:sz w:val="22"/>
          <w:szCs w:val="22"/>
        </w:rPr>
        <w:t>hild protection</w:t>
      </w:r>
    </w:p>
    <w:p w:rsidR="00D5620E" w:rsidRPr="00D5620E" w:rsidRDefault="00D5620E" w:rsidP="007C2B43">
      <w:pPr>
        <w:pStyle w:val="ListParagraph"/>
        <w:widowControl/>
        <w:numPr>
          <w:ilvl w:val="0"/>
          <w:numId w:val="25"/>
        </w:numPr>
        <w:jc w:val="both"/>
        <w:rPr>
          <w:sz w:val="22"/>
          <w:szCs w:val="22"/>
        </w:rPr>
      </w:pPr>
      <w:r w:rsidRPr="00D5620E">
        <w:rPr>
          <w:sz w:val="22"/>
          <w:szCs w:val="22"/>
        </w:rPr>
        <w:t>Development and implementation of youth engagement policies and strategies.</w:t>
      </w:r>
    </w:p>
    <w:p w:rsidR="00D03761" w:rsidRPr="007869AD" w:rsidRDefault="00D03761" w:rsidP="007C2B43">
      <w:pPr>
        <w:widowControl/>
        <w:spacing w:after="160"/>
        <w:jc w:val="both"/>
        <w:rPr>
          <w:b/>
          <w:sz w:val="22"/>
          <w:szCs w:val="22"/>
        </w:rPr>
      </w:pPr>
      <w:r w:rsidRPr="007869AD">
        <w:rPr>
          <w:b/>
          <w:sz w:val="22"/>
          <w:szCs w:val="22"/>
        </w:rPr>
        <w:t>Lot 3: Gender equality and women’s and girl’s empowerment and protection</w:t>
      </w:r>
    </w:p>
    <w:p w:rsidR="00D03761" w:rsidRPr="007869AD" w:rsidRDefault="00D03761" w:rsidP="007C2B43">
      <w:pPr>
        <w:jc w:val="both"/>
        <w:rPr>
          <w:sz w:val="22"/>
          <w:szCs w:val="22"/>
        </w:rPr>
      </w:pPr>
      <w:r w:rsidRPr="007869AD">
        <w:rPr>
          <w:sz w:val="22"/>
          <w:szCs w:val="22"/>
        </w:rPr>
        <w:t xml:space="preserve">Activities in this lot can range from advocacy activities to concrete service delivery activities. While gender is also a cross-cutting issue and should be mainstreamed throughout all activities, the disadvantaged situation of women and girls in many areas as well as the wide-spread stereotypes and forms of violence against women and girls demand concrete targeted actions. </w:t>
      </w:r>
    </w:p>
    <w:p w:rsidR="00D03761" w:rsidRPr="007869AD" w:rsidRDefault="00D03761" w:rsidP="007C2B43">
      <w:pPr>
        <w:jc w:val="both"/>
        <w:rPr>
          <w:sz w:val="22"/>
          <w:szCs w:val="22"/>
          <w:u w:val="single"/>
        </w:rPr>
      </w:pPr>
    </w:p>
    <w:p w:rsidR="00D03761" w:rsidRDefault="00AD52D9" w:rsidP="007C2B43">
      <w:pPr>
        <w:jc w:val="both"/>
        <w:rPr>
          <w:sz w:val="22"/>
          <w:szCs w:val="22"/>
          <w:u w:val="single"/>
        </w:rPr>
      </w:pPr>
      <w:r>
        <w:rPr>
          <w:sz w:val="22"/>
          <w:szCs w:val="22"/>
          <w:u w:val="single"/>
        </w:rPr>
        <w:t>Gender-based Violence (</w:t>
      </w:r>
      <w:r w:rsidR="00D03761" w:rsidRPr="007869AD">
        <w:rPr>
          <w:sz w:val="22"/>
          <w:szCs w:val="22"/>
          <w:u w:val="single"/>
        </w:rPr>
        <w:t>GBV</w:t>
      </w:r>
      <w:r>
        <w:rPr>
          <w:sz w:val="22"/>
          <w:szCs w:val="22"/>
          <w:u w:val="single"/>
        </w:rPr>
        <w:t>)</w:t>
      </w:r>
      <w:r w:rsidR="00D03761" w:rsidRPr="007869AD">
        <w:rPr>
          <w:sz w:val="22"/>
          <w:szCs w:val="22"/>
          <w:u w:val="single"/>
        </w:rPr>
        <w:t>/</w:t>
      </w:r>
      <w:r>
        <w:rPr>
          <w:sz w:val="22"/>
          <w:szCs w:val="22"/>
          <w:u w:val="single"/>
        </w:rPr>
        <w:t>V</w:t>
      </w:r>
      <w:r w:rsidR="00D03761" w:rsidRPr="007869AD">
        <w:rPr>
          <w:sz w:val="22"/>
          <w:szCs w:val="22"/>
          <w:u w:val="single"/>
        </w:rPr>
        <w:t>iolence against women and girls</w:t>
      </w:r>
      <w:r>
        <w:rPr>
          <w:sz w:val="22"/>
          <w:szCs w:val="22"/>
          <w:u w:val="single"/>
        </w:rPr>
        <w:t xml:space="preserve"> (VAWG)</w:t>
      </w:r>
      <w:r w:rsidR="00D03761" w:rsidRPr="007869AD">
        <w:rPr>
          <w:sz w:val="22"/>
          <w:szCs w:val="22"/>
          <w:u w:val="single"/>
        </w:rPr>
        <w:t xml:space="preserve">: </w:t>
      </w:r>
    </w:p>
    <w:p w:rsidR="00451468" w:rsidRPr="007869AD" w:rsidRDefault="00451468" w:rsidP="007C2B43">
      <w:pPr>
        <w:jc w:val="both"/>
        <w:rPr>
          <w:sz w:val="22"/>
          <w:szCs w:val="22"/>
          <w:u w:val="single"/>
        </w:rPr>
      </w:pPr>
    </w:p>
    <w:p w:rsidR="00D03761" w:rsidRPr="007869AD" w:rsidRDefault="00D03761" w:rsidP="007C2B43">
      <w:pPr>
        <w:pStyle w:val="ListParagraph"/>
        <w:widowControl/>
        <w:numPr>
          <w:ilvl w:val="0"/>
          <w:numId w:val="25"/>
        </w:numPr>
        <w:jc w:val="both"/>
        <w:rPr>
          <w:sz w:val="22"/>
          <w:szCs w:val="22"/>
        </w:rPr>
      </w:pPr>
      <w:r w:rsidRPr="007869AD">
        <w:rPr>
          <w:sz w:val="22"/>
          <w:szCs w:val="22"/>
        </w:rPr>
        <w:t>Support political, legislative, judicial, &amp; law enforcement action for compliance with agreed standards that drive gender equality and action to penalise all VAWG and gender-based violence and to protect victims</w:t>
      </w:r>
    </w:p>
    <w:p w:rsidR="00D03761" w:rsidRPr="007869AD" w:rsidRDefault="00D03761" w:rsidP="007C2B43">
      <w:pPr>
        <w:pStyle w:val="ListParagraph"/>
        <w:widowControl/>
        <w:numPr>
          <w:ilvl w:val="0"/>
          <w:numId w:val="25"/>
        </w:numPr>
        <w:jc w:val="both"/>
        <w:rPr>
          <w:sz w:val="22"/>
          <w:szCs w:val="22"/>
        </w:rPr>
      </w:pPr>
      <w:r w:rsidRPr="007869AD">
        <w:rPr>
          <w:sz w:val="22"/>
          <w:szCs w:val="22"/>
        </w:rPr>
        <w:t>Support initiatives to tackle the culture of impunity with regards to sexual and gender-based violence and enforce prosecution of perpetrators</w:t>
      </w:r>
    </w:p>
    <w:p w:rsidR="00D03761" w:rsidRPr="007869AD" w:rsidRDefault="00D03761" w:rsidP="007C2B43">
      <w:pPr>
        <w:pStyle w:val="ListParagraph"/>
        <w:widowControl/>
        <w:numPr>
          <w:ilvl w:val="0"/>
          <w:numId w:val="25"/>
        </w:numPr>
        <w:jc w:val="both"/>
        <w:rPr>
          <w:sz w:val="22"/>
          <w:szCs w:val="22"/>
        </w:rPr>
      </w:pPr>
      <w:r w:rsidRPr="007869AD">
        <w:rPr>
          <w:sz w:val="22"/>
          <w:szCs w:val="22"/>
        </w:rPr>
        <w:t>Improve the capacity of the judiciary and law enforcement to provide redress to VAWG victims, in line with international standards</w:t>
      </w:r>
    </w:p>
    <w:p w:rsidR="00D03761" w:rsidRPr="007869AD" w:rsidRDefault="00D03761" w:rsidP="007C2B43">
      <w:pPr>
        <w:pStyle w:val="ListParagraph"/>
        <w:widowControl/>
        <w:numPr>
          <w:ilvl w:val="0"/>
          <w:numId w:val="25"/>
        </w:numPr>
        <w:jc w:val="both"/>
        <w:rPr>
          <w:sz w:val="22"/>
          <w:szCs w:val="22"/>
        </w:rPr>
      </w:pPr>
      <w:r w:rsidRPr="007869AD">
        <w:rPr>
          <w:sz w:val="22"/>
          <w:szCs w:val="22"/>
        </w:rPr>
        <w:t>Engage in community awareness programmes on sexual and gender-based violence</w:t>
      </w:r>
    </w:p>
    <w:p w:rsidR="00D03761" w:rsidRPr="007869AD" w:rsidRDefault="00D03761" w:rsidP="007C2B43">
      <w:pPr>
        <w:pStyle w:val="ListParagraph"/>
        <w:widowControl/>
        <w:numPr>
          <w:ilvl w:val="0"/>
          <w:numId w:val="25"/>
        </w:numPr>
        <w:jc w:val="both"/>
        <w:rPr>
          <w:sz w:val="22"/>
          <w:szCs w:val="22"/>
        </w:rPr>
      </w:pPr>
      <w:r w:rsidRPr="007869AD">
        <w:rPr>
          <w:sz w:val="22"/>
          <w:szCs w:val="22"/>
        </w:rPr>
        <w:t>Reduce harmful traditional practices including FGM/C.</w:t>
      </w:r>
    </w:p>
    <w:p w:rsidR="00AD52D9" w:rsidRDefault="00AD52D9" w:rsidP="007C2B43">
      <w:pPr>
        <w:jc w:val="both"/>
        <w:rPr>
          <w:sz w:val="22"/>
          <w:szCs w:val="22"/>
          <w:u w:val="single"/>
        </w:rPr>
      </w:pPr>
    </w:p>
    <w:p w:rsidR="00D03761" w:rsidRPr="007869AD" w:rsidRDefault="00D03761" w:rsidP="007C2B43">
      <w:pPr>
        <w:jc w:val="both"/>
        <w:rPr>
          <w:sz w:val="22"/>
          <w:szCs w:val="22"/>
          <w:u w:val="single"/>
        </w:rPr>
      </w:pPr>
      <w:r w:rsidRPr="007869AD">
        <w:rPr>
          <w:sz w:val="22"/>
          <w:szCs w:val="22"/>
          <w:u w:val="single"/>
        </w:rPr>
        <w:lastRenderedPageBreak/>
        <w:t xml:space="preserve">Protection: </w:t>
      </w:r>
    </w:p>
    <w:p w:rsidR="00D03761" w:rsidRPr="007869AD" w:rsidRDefault="00D03761" w:rsidP="007C2B43">
      <w:pPr>
        <w:pStyle w:val="ListParagraph"/>
        <w:widowControl/>
        <w:numPr>
          <w:ilvl w:val="0"/>
          <w:numId w:val="25"/>
        </w:numPr>
        <w:jc w:val="both"/>
        <w:rPr>
          <w:sz w:val="22"/>
          <w:szCs w:val="22"/>
        </w:rPr>
      </w:pPr>
      <w:r w:rsidRPr="007869AD">
        <w:rPr>
          <w:sz w:val="22"/>
          <w:szCs w:val="22"/>
        </w:rPr>
        <w:t>Support coverage for the protection of girls and women (shelters, hotline service</w:t>
      </w:r>
      <w:r w:rsidR="00AD52D9">
        <w:rPr>
          <w:sz w:val="22"/>
          <w:szCs w:val="22"/>
        </w:rPr>
        <w:t>s, etc</w:t>
      </w:r>
      <w:r w:rsidRPr="007869AD">
        <w:rPr>
          <w:sz w:val="22"/>
          <w:szCs w:val="22"/>
        </w:rPr>
        <w:t xml:space="preserve">) </w:t>
      </w:r>
    </w:p>
    <w:p w:rsidR="00995669" w:rsidRPr="00451468" w:rsidRDefault="00D03761" w:rsidP="007C2B43">
      <w:pPr>
        <w:pStyle w:val="ListParagraph"/>
        <w:widowControl/>
        <w:numPr>
          <w:ilvl w:val="0"/>
          <w:numId w:val="25"/>
        </w:numPr>
        <w:jc w:val="both"/>
        <w:rPr>
          <w:sz w:val="22"/>
          <w:szCs w:val="22"/>
          <w:u w:val="single"/>
        </w:rPr>
      </w:pPr>
      <w:r w:rsidRPr="00451468">
        <w:rPr>
          <w:sz w:val="22"/>
          <w:szCs w:val="22"/>
        </w:rPr>
        <w:t>Support healthcare services and psychological and physical recovery and social reinsertion of survivors of sexual and gender-based violence.</w:t>
      </w:r>
    </w:p>
    <w:p w:rsidR="00297E95" w:rsidRPr="004A7B10" w:rsidRDefault="00297E95" w:rsidP="007C2B43">
      <w:pPr>
        <w:jc w:val="both"/>
        <w:rPr>
          <w:sz w:val="14"/>
          <w:szCs w:val="22"/>
          <w:u w:val="single"/>
        </w:rPr>
      </w:pPr>
    </w:p>
    <w:p w:rsidR="00D03761" w:rsidRPr="007869AD" w:rsidRDefault="00D03761" w:rsidP="007C2B43">
      <w:pPr>
        <w:jc w:val="both"/>
        <w:rPr>
          <w:sz w:val="22"/>
          <w:szCs w:val="22"/>
          <w:u w:val="single"/>
        </w:rPr>
      </w:pPr>
      <w:r w:rsidRPr="007869AD">
        <w:rPr>
          <w:sz w:val="22"/>
          <w:szCs w:val="22"/>
          <w:u w:val="single"/>
        </w:rPr>
        <w:t>Fight inequality and stereotypes and strengthen voice/participation in society:</w:t>
      </w:r>
    </w:p>
    <w:p w:rsidR="00D03761" w:rsidRPr="007869AD" w:rsidRDefault="00AD52D9" w:rsidP="007C2B43">
      <w:pPr>
        <w:pStyle w:val="ListParagraph"/>
        <w:widowControl/>
        <w:numPr>
          <w:ilvl w:val="0"/>
          <w:numId w:val="25"/>
        </w:numPr>
        <w:jc w:val="both"/>
        <w:rPr>
          <w:sz w:val="22"/>
          <w:szCs w:val="22"/>
        </w:rPr>
      </w:pPr>
      <w:r>
        <w:rPr>
          <w:sz w:val="22"/>
          <w:szCs w:val="22"/>
        </w:rPr>
        <w:t xml:space="preserve">Advocate </w:t>
      </w:r>
      <w:r w:rsidR="00D03761" w:rsidRPr="007869AD">
        <w:rPr>
          <w:sz w:val="22"/>
          <w:szCs w:val="22"/>
        </w:rPr>
        <w:t xml:space="preserve">equal rights to economic resources, as well as access to ownership and control over land and other forms of property, financial services, inheritance and natural resources, in accordance with national laws </w:t>
      </w:r>
    </w:p>
    <w:p w:rsidR="00D03761" w:rsidRPr="007869AD" w:rsidRDefault="00D03761" w:rsidP="007C2B43">
      <w:pPr>
        <w:pStyle w:val="ListParagraph"/>
        <w:widowControl/>
        <w:numPr>
          <w:ilvl w:val="0"/>
          <w:numId w:val="25"/>
        </w:numPr>
        <w:jc w:val="both"/>
        <w:rPr>
          <w:sz w:val="22"/>
          <w:szCs w:val="22"/>
        </w:rPr>
      </w:pPr>
      <w:r w:rsidRPr="007869AD">
        <w:rPr>
          <w:sz w:val="22"/>
          <w:szCs w:val="22"/>
        </w:rPr>
        <w:t>Support community, peer-to-peer, outreach and mobilisation action, involve men and boys, engage with leaders and figures of authority to promote the rights of girls and women of all ages and to increase the value placed on them by their own communities</w:t>
      </w:r>
    </w:p>
    <w:p w:rsidR="00D03761" w:rsidRPr="007869AD" w:rsidRDefault="00D03761" w:rsidP="007C2B43">
      <w:pPr>
        <w:pStyle w:val="ListParagraph"/>
        <w:widowControl/>
        <w:numPr>
          <w:ilvl w:val="0"/>
          <w:numId w:val="25"/>
        </w:numPr>
        <w:jc w:val="both"/>
        <w:rPr>
          <w:sz w:val="22"/>
          <w:szCs w:val="22"/>
        </w:rPr>
      </w:pPr>
      <w:r w:rsidRPr="007869AD">
        <w:rPr>
          <w:sz w:val="22"/>
          <w:szCs w:val="22"/>
        </w:rPr>
        <w:t xml:space="preserve">Adopt and strengthen sound policies and enforceable legislation for the promotion of gender equality and the empowerment of all women and girls at all levels </w:t>
      </w:r>
    </w:p>
    <w:p w:rsidR="00AD52D9" w:rsidRDefault="00D03761" w:rsidP="007C2B43">
      <w:pPr>
        <w:pStyle w:val="ListParagraph"/>
        <w:widowControl/>
        <w:numPr>
          <w:ilvl w:val="0"/>
          <w:numId w:val="25"/>
        </w:numPr>
        <w:jc w:val="both"/>
        <w:rPr>
          <w:sz w:val="22"/>
          <w:szCs w:val="22"/>
        </w:rPr>
      </w:pPr>
      <w:r w:rsidRPr="00AD52D9">
        <w:rPr>
          <w:sz w:val="22"/>
          <w:szCs w:val="22"/>
        </w:rPr>
        <w:t>Support women, men and boys and their associations as agents for change towards gender equality</w:t>
      </w:r>
    </w:p>
    <w:p w:rsidR="00AD52D9" w:rsidRDefault="00D03761" w:rsidP="007C2B43">
      <w:pPr>
        <w:pStyle w:val="ListParagraph"/>
        <w:widowControl/>
        <w:numPr>
          <w:ilvl w:val="0"/>
          <w:numId w:val="25"/>
        </w:numPr>
        <w:jc w:val="both"/>
        <w:rPr>
          <w:sz w:val="22"/>
          <w:szCs w:val="22"/>
        </w:rPr>
      </w:pPr>
      <w:r w:rsidRPr="00AD52D9">
        <w:rPr>
          <w:sz w:val="22"/>
          <w:szCs w:val="22"/>
        </w:rPr>
        <w:t>Promote public debate on non-discriminatory gender relationships</w:t>
      </w:r>
    </w:p>
    <w:p w:rsidR="00AD52D9" w:rsidRDefault="00AD52D9" w:rsidP="007C2B43">
      <w:pPr>
        <w:pStyle w:val="ListParagraph"/>
        <w:widowControl/>
        <w:numPr>
          <w:ilvl w:val="0"/>
          <w:numId w:val="25"/>
        </w:numPr>
        <w:jc w:val="both"/>
        <w:rPr>
          <w:sz w:val="22"/>
          <w:szCs w:val="22"/>
        </w:rPr>
      </w:pPr>
      <w:r>
        <w:rPr>
          <w:sz w:val="22"/>
          <w:szCs w:val="22"/>
        </w:rPr>
        <w:t>Facilitate e</w:t>
      </w:r>
      <w:r w:rsidR="00D03761" w:rsidRPr="00AD52D9">
        <w:rPr>
          <w:sz w:val="22"/>
          <w:szCs w:val="22"/>
        </w:rPr>
        <w:t>qual representation in political and economic decision-making processes</w:t>
      </w:r>
    </w:p>
    <w:p w:rsidR="0032492C" w:rsidRPr="00AD52D9" w:rsidRDefault="00AD52D9" w:rsidP="007C2B43">
      <w:pPr>
        <w:pStyle w:val="ListParagraph"/>
        <w:widowControl/>
        <w:numPr>
          <w:ilvl w:val="0"/>
          <w:numId w:val="25"/>
        </w:numPr>
        <w:jc w:val="both"/>
        <w:rPr>
          <w:sz w:val="22"/>
          <w:szCs w:val="22"/>
        </w:rPr>
      </w:pPr>
      <w:r>
        <w:rPr>
          <w:sz w:val="22"/>
          <w:szCs w:val="22"/>
        </w:rPr>
        <w:t xml:space="preserve">Empower </w:t>
      </w:r>
      <w:r w:rsidR="0032492C" w:rsidRPr="00AD52D9">
        <w:rPr>
          <w:sz w:val="22"/>
          <w:szCs w:val="22"/>
        </w:rPr>
        <w:t>women and girls to speak for themselves and find their voice</w:t>
      </w:r>
      <w:r w:rsidR="00397F3C" w:rsidRPr="00AD52D9">
        <w:rPr>
          <w:sz w:val="22"/>
          <w:szCs w:val="22"/>
        </w:rPr>
        <w:t>.</w:t>
      </w:r>
    </w:p>
    <w:p w:rsidR="00297E95" w:rsidRPr="004A7B10" w:rsidRDefault="00297E95" w:rsidP="007C2B43">
      <w:pPr>
        <w:pStyle w:val="Bodytext21"/>
        <w:shd w:val="clear" w:color="auto" w:fill="auto"/>
        <w:spacing w:before="0" w:after="0" w:line="240" w:lineRule="auto"/>
        <w:ind w:firstLine="0"/>
        <w:rPr>
          <w:sz w:val="14"/>
        </w:rPr>
      </w:pPr>
    </w:p>
    <w:p w:rsidR="000B5BFC" w:rsidRDefault="00764274" w:rsidP="007C2B43">
      <w:pPr>
        <w:pStyle w:val="Bodytext21"/>
        <w:shd w:val="clear" w:color="auto" w:fill="auto"/>
        <w:spacing w:before="0" w:after="0" w:line="240" w:lineRule="auto"/>
        <w:ind w:firstLine="0"/>
      </w:pPr>
      <w:r>
        <w:t xml:space="preserve">The following types of action are </w:t>
      </w:r>
      <w:r w:rsidRPr="002E0831">
        <w:rPr>
          <w:u w:val="single"/>
        </w:rPr>
        <w:t>ineligible</w:t>
      </w:r>
      <w:r>
        <w:t>:</w:t>
      </w:r>
    </w:p>
    <w:p w:rsidR="000B5BFC" w:rsidRPr="005C01EA" w:rsidRDefault="00764274" w:rsidP="007C2B43">
      <w:pPr>
        <w:pStyle w:val="ListParagraph"/>
        <w:numPr>
          <w:ilvl w:val="0"/>
          <w:numId w:val="19"/>
        </w:numPr>
        <w:jc w:val="both"/>
        <w:rPr>
          <w:sz w:val="22"/>
          <w:szCs w:val="22"/>
        </w:rPr>
      </w:pPr>
      <w:r w:rsidRPr="005C01EA">
        <w:rPr>
          <w:sz w:val="22"/>
          <w:szCs w:val="22"/>
        </w:rPr>
        <w:t>actions concerned only or mainly with individual sponsorships for participation in workshops, seminars, conferences and congresses;</w:t>
      </w:r>
    </w:p>
    <w:p w:rsidR="000B5BFC" w:rsidRPr="005C01EA" w:rsidRDefault="00764274" w:rsidP="007C2B43">
      <w:pPr>
        <w:pStyle w:val="ListParagraph"/>
        <w:numPr>
          <w:ilvl w:val="0"/>
          <w:numId w:val="19"/>
        </w:numPr>
        <w:jc w:val="both"/>
        <w:rPr>
          <w:sz w:val="22"/>
          <w:szCs w:val="22"/>
        </w:rPr>
      </w:pPr>
      <w:r w:rsidRPr="005C01EA">
        <w:rPr>
          <w:sz w:val="22"/>
          <w:szCs w:val="22"/>
        </w:rPr>
        <w:t>actions concerned only or mainly with individual scholarships for studies or training courses;</w:t>
      </w:r>
    </w:p>
    <w:p w:rsidR="005C01EA" w:rsidRPr="005C01EA" w:rsidRDefault="005C01EA" w:rsidP="007C2B43">
      <w:pPr>
        <w:pStyle w:val="ListParagraph"/>
        <w:numPr>
          <w:ilvl w:val="0"/>
          <w:numId w:val="19"/>
        </w:numPr>
        <w:jc w:val="both"/>
        <w:rPr>
          <w:sz w:val="22"/>
          <w:szCs w:val="22"/>
        </w:rPr>
      </w:pPr>
      <w:r w:rsidRPr="005C01EA">
        <w:rPr>
          <w:sz w:val="22"/>
          <w:szCs w:val="22"/>
        </w:rPr>
        <w:t>one-off conferences: conferences can only be funded if they form part of a wider range of activities to be implemented in the project life-time. Pre and post conferences activities (such as preparation, proceedings</w:t>
      </w:r>
      <w:r w:rsidR="00AD52D9">
        <w:rPr>
          <w:sz w:val="22"/>
          <w:szCs w:val="22"/>
        </w:rPr>
        <w:t>,</w:t>
      </w:r>
      <w:r w:rsidRPr="005C01EA">
        <w:rPr>
          <w:sz w:val="22"/>
          <w:szCs w:val="22"/>
        </w:rPr>
        <w:t xml:space="preserve"> publications, etc) do not in themselves constitute such “wider activities”;</w:t>
      </w:r>
    </w:p>
    <w:p w:rsidR="005C01EA" w:rsidRPr="005C01EA" w:rsidRDefault="005C01EA" w:rsidP="007C2B43">
      <w:pPr>
        <w:pStyle w:val="ListParagraph"/>
        <w:numPr>
          <w:ilvl w:val="0"/>
          <w:numId w:val="19"/>
        </w:numPr>
        <w:jc w:val="both"/>
        <w:rPr>
          <w:sz w:val="22"/>
          <w:szCs w:val="22"/>
        </w:rPr>
      </w:pPr>
      <w:r w:rsidRPr="005C01EA">
        <w:rPr>
          <w:sz w:val="22"/>
          <w:szCs w:val="22"/>
        </w:rPr>
        <w:t>actions concerned solely with a narrow interpretation of institutional or organisational strengthening of applicants with activities that could indicatively include material support (logistics, equipment, vehicles, etc) or human resources (applicants’ skills development processes or additional staff), etc</w:t>
      </w:r>
      <w:r w:rsidR="00AD52D9">
        <w:rPr>
          <w:sz w:val="22"/>
          <w:szCs w:val="22"/>
        </w:rPr>
        <w:t>;</w:t>
      </w:r>
    </w:p>
    <w:p w:rsidR="005C01EA" w:rsidRPr="005C01EA" w:rsidRDefault="005C01EA" w:rsidP="007C2B43">
      <w:pPr>
        <w:pStyle w:val="ListParagraph"/>
        <w:numPr>
          <w:ilvl w:val="0"/>
          <w:numId w:val="19"/>
        </w:numPr>
        <w:jc w:val="both"/>
        <w:rPr>
          <w:sz w:val="22"/>
          <w:szCs w:val="22"/>
        </w:rPr>
      </w:pPr>
      <w:r w:rsidRPr="005C01EA">
        <w:rPr>
          <w:sz w:val="22"/>
          <w:szCs w:val="22"/>
        </w:rPr>
        <w:t xml:space="preserve">actions which consist exclusively or primarily in capital expenditures </w:t>
      </w:r>
      <w:r w:rsidR="00AD52D9">
        <w:rPr>
          <w:sz w:val="22"/>
          <w:szCs w:val="22"/>
        </w:rPr>
        <w:t>(</w:t>
      </w:r>
      <w:r w:rsidRPr="005C01EA">
        <w:rPr>
          <w:sz w:val="22"/>
          <w:szCs w:val="22"/>
        </w:rPr>
        <w:t>e.g. land, buildings, equipment and vehicles</w:t>
      </w:r>
      <w:r w:rsidR="00AD52D9">
        <w:rPr>
          <w:sz w:val="22"/>
          <w:szCs w:val="22"/>
        </w:rPr>
        <w:t>)</w:t>
      </w:r>
      <w:r w:rsidRPr="005C01EA">
        <w:rPr>
          <w:sz w:val="22"/>
          <w:szCs w:val="22"/>
        </w:rPr>
        <w:t>;</w:t>
      </w:r>
    </w:p>
    <w:p w:rsidR="005C01EA" w:rsidRPr="005C01EA" w:rsidRDefault="005C01EA" w:rsidP="007C2B43">
      <w:pPr>
        <w:pStyle w:val="ListParagraph"/>
        <w:numPr>
          <w:ilvl w:val="0"/>
          <w:numId w:val="19"/>
        </w:numPr>
        <w:jc w:val="both"/>
        <w:rPr>
          <w:sz w:val="22"/>
          <w:szCs w:val="22"/>
        </w:rPr>
      </w:pPr>
      <w:r w:rsidRPr="005C01EA">
        <w:rPr>
          <w:sz w:val="22"/>
          <w:szCs w:val="22"/>
        </w:rPr>
        <w:t>actions engendering any form of discrimination against individuals or groups on the grounds of gender, ethnicity, sexual orientation, political affiliation, religious belief or lack of them, age or disability and health status;</w:t>
      </w:r>
    </w:p>
    <w:p w:rsidR="005C01EA" w:rsidRPr="005C01EA" w:rsidRDefault="005C01EA" w:rsidP="007C2B43">
      <w:pPr>
        <w:pStyle w:val="ListParagraph"/>
        <w:numPr>
          <w:ilvl w:val="0"/>
          <w:numId w:val="19"/>
        </w:numPr>
        <w:jc w:val="both"/>
        <w:rPr>
          <w:sz w:val="22"/>
          <w:szCs w:val="22"/>
        </w:rPr>
      </w:pPr>
      <w:r w:rsidRPr="005C01EA">
        <w:rPr>
          <w:sz w:val="22"/>
          <w:szCs w:val="22"/>
        </w:rPr>
        <w:t>actions pursuing a narrow political agenda or supporting political parties;</w:t>
      </w:r>
    </w:p>
    <w:p w:rsidR="005C01EA" w:rsidRPr="005C01EA" w:rsidRDefault="005C01EA" w:rsidP="007C2B43">
      <w:pPr>
        <w:pStyle w:val="ListParagraph"/>
        <w:numPr>
          <w:ilvl w:val="0"/>
          <w:numId w:val="19"/>
        </w:numPr>
        <w:jc w:val="both"/>
        <w:rPr>
          <w:sz w:val="22"/>
          <w:szCs w:val="22"/>
        </w:rPr>
      </w:pPr>
      <w:r w:rsidRPr="005C01EA">
        <w:rPr>
          <w:sz w:val="22"/>
          <w:szCs w:val="22"/>
        </w:rPr>
        <w:t>actions of a proselyte nature.</w:t>
      </w:r>
    </w:p>
    <w:p w:rsidR="00DD0985" w:rsidRDefault="00DD0985" w:rsidP="007C2B43">
      <w:pPr>
        <w:pStyle w:val="Bodytext21"/>
        <w:shd w:val="clear" w:color="auto" w:fill="auto"/>
        <w:spacing w:before="0" w:after="0" w:line="240" w:lineRule="auto"/>
        <w:ind w:firstLine="0"/>
        <w:rPr>
          <w:rStyle w:val="Bodytext26"/>
          <w:b/>
          <w:u w:val="none"/>
        </w:rPr>
      </w:pPr>
    </w:p>
    <w:p w:rsidR="000B5BFC" w:rsidRDefault="00764274" w:rsidP="007C2B43">
      <w:pPr>
        <w:pStyle w:val="Bodytext21"/>
        <w:shd w:val="clear" w:color="auto" w:fill="auto"/>
        <w:spacing w:before="0" w:after="0" w:line="240" w:lineRule="auto"/>
        <w:ind w:firstLine="0"/>
        <w:rPr>
          <w:rStyle w:val="Bodytext26"/>
          <w:b/>
          <w:u w:val="none"/>
        </w:rPr>
      </w:pPr>
      <w:r w:rsidRPr="005C01EA">
        <w:rPr>
          <w:rStyle w:val="Bodytext26"/>
          <w:b/>
          <w:u w:val="none"/>
        </w:rPr>
        <w:t>Types of activity</w:t>
      </w:r>
      <w:r w:rsidR="00054495">
        <w:rPr>
          <w:rStyle w:val="Bodytext26"/>
          <w:b/>
          <w:u w:val="none"/>
        </w:rPr>
        <w:t>:</w:t>
      </w:r>
    </w:p>
    <w:p w:rsidR="00054495" w:rsidRPr="00054495" w:rsidRDefault="00054495" w:rsidP="007C2B43">
      <w:pPr>
        <w:widowControl/>
        <w:jc w:val="both"/>
        <w:rPr>
          <w:color w:val="auto"/>
          <w:sz w:val="22"/>
          <w:szCs w:val="22"/>
          <w:lang w:bidi="ar-SA"/>
        </w:rPr>
      </w:pPr>
      <w:r w:rsidRPr="00054495">
        <w:rPr>
          <w:color w:val="auto"/>
          <w:sz w:val="22"/>
          <w:szCs w:val="22"/>
          <w:lang w:bidi="ar-SA"/>
        </w:rPr>
        <w:t xml:space="preserve">The types of activity which may be financed </w:t>
      </w:r>
      <w:r>
        <w:rPr>
          <w:color w:val="auto"/>
          <w:sz w:val="22"/>
          <w:szCs w:val="22"/>
          <w:lang w:bidi="ar-SA"/>
        </w:rPr>
        <w:t xml:space="preserve">under this call </w:t>
      </w:r>
      <w:r w:rsidRPr="00054495">
        <w:rPr>
          <w:color w:val="auto"/>
          <w:sz w:val="22"/>
          <w:szCs w:val="22"/>
          <w:lang w:bidi="ar-SA"/>
        </w:rPr>
        <w:t xml:space="preserve">are those </w:t>
      </w:r>
      <w:r>
        <w:rPr>
          <w:color w:val="auto"/>
          <w:sz w:val="22"/>
          <w:szCs w:val="22"/>
          <w:lang w:bidi="ar-SA"/>
        </w:rPr>
        <w:t xml:space="preserve">which will </w:t>
      </w:r>
      <w:r w:rsidRPr="00054495">
        <w:rPr>
          <w:color w:val="auto"/>
          <w:sz w:val="22"/>
          <w:szCs w:val="22"/>
          <w:lang w:bidi="ar-SA"/>
        </w:rPr>
        <w:t>directly contribut</w:t>
      </w:r>
      <w:r>
        <w:rPr>
          <w:color w:val="auto"/>
          <w:sz w:val="22"/>
          <w:szCs w:val="22"/>
          <w:lang w:bidi="ar-SA"/>
        </w:rPr>
        <w:t xml:space="preserve">e </w:t>
      </w:r>
      <w:r w:rsidRPr="00054495">
        <w:rPr>
          <w:color w:val="auto"/>
          <w:sz w:val="22"/>
          <w:szCs w:val="22"/>
          <w:lang w:bidi="ar-SA"/>
        </w:rPr>
        <w:t>to the</w:t>
      </w:r>
      <w:r w:rsidR="004A7B10">
        <w:rPr>
          <w:color w:val="auto"/>
          <w:sz w:val="22"/>
          <w:szCs w:val="22"/>
          <w:lang w:bidi="ar-SA"/>
        </w:rPr>
        <w:t xml:space="preserve"> </w:t>
      </w:r>
      <w:r w:rsidRPr="00054495">
        <w:rPr>
          <w:color w:val="auto"/>
          <w:sz w:val="22"/>
          <w:szCs w:val="22"/>
          <w:lang w:bidi="ar-SA"/>
        </w:rPr>
        <w:t xml:space="preserve">achievement of the objectives, priorities and main principles </w:t>
      </w:r>
      <w:r>
        <w:rPr>
          <w:color w:val="auto"/>
          <w:sz w:val="22"/>
          <w:szCs w:val="22"/>
          <w:lang w:bidi="ar-SA"/>
        </w:rPr>
        <w:t xml:space="preserve">set out in </w:t>
      </w:r>
      <w:r w:rsidRPr="00054495">
        <w:rPr>
          <w:color w:val="auto"/>
          <w:sz w:val="22"/>
          <w:szCs w:val="22"/>
          <w:lang w:bidi="ar-SA"/>
        </w:rPr>
        <w:t>section 1.2 above, within the confine</w:t>
      </w:r>
      <w:r>
        <w:rPr>
          <w:color w:val="auto"/>
          <w:sz w:val="22"/>
          <w:szCs w:val="22"/>
          <w:lang w:bidi="ar-SA"/>
        </w:rPr>
        <w:t>s</w:t>
      </w:r>
      <w:r w:rsidRPr="00054495">
        <w:rPr>
          <w:color w:val="auto"/>
          <w:sz w:val="22"/>
          <w:szCs w:val="22"/>
          <w:lang w:bidi="ar-SA"/>
        </w:rPr>
        <w:t xml:space="preserve"> of the themes and sectors o</w:t>
      </w:r>
      <w:r>
        <w:rPr>
          <w:color w:val="auto"/>
          <w:sz w:val="22"/>
          <w:szCs w:val="22"/>
          <w:lang w:bidi="ar-SA"/>
        </w:rPr>
        <w:t xml:space="preserve">utlined in </w:t>
      </w:r>
      <w:r w:rsidRPr="00054495">
        <w:rPr>
          <w:color w:val="auto"/>
          <w:sz w:val="22"/>
          <w:szCs w:val="22"/>
          <w:lang w:bidi="ar-SA"/>
        </w:rPr>
        <w:t>section 2.1.4 above.</w:t>
      </w:r>
    </w:p>
    <w:p w:rsidR="00054495" w:rsidRPr="00054495" w:rsidRDefault="00054495" w:rsidP="007C2B43">
      <w:pPr>
        <w:widowControl/>
        <w:jc w:val="both"/>
        <w:rPr>
          <w:color w:val="auto"/>
          <w:sz w:val="6"/>
          <w:szCs w:val="22"/>
          <w:lang w:bidi="ar-SA"/>
        </w:rPr>
      </w:pPr>
    </w:p>
    <w:p w:rsidR="00054495" w:rsidRPr="002E0831" w:rsidRDefault="00054495" w:rsidP="007C2B43">
      <w:pPr>
        <w:widowControl/>
        <w:jc w:val="both"/>
        <w:rPr>
          <w:color w:val="auto"/>
          <w:sz w:val="22"/>
          <w:szCs w:val="22"/>
          <w:lang w:bidi="ar-SA"/>
        </w:rPr>
      </w:pPr>
      <w:r w:rsidRPr="002E0831">
        <w:rPr>
          <w:color w:val="auto"/>
          <w:sz w:val="22"/>
          <w:szCs w:val="22"/>
          <w:lang w:bidi="ar-SA"/>
        </w:rPr>
        <w:t xml:space="preserve">Activities may include, but are not limited to: </w:t>
      </w:r>
    </w:p>
    <w:p w:rsidR="00AD52D9" w:rsidRDefault="00054495" w:rsidP="007C2B43">
      <w:pPr>
        <w:widowControl/>
        <w:numPr>
          <w:ilvl w:val="0"/>
          <w:numId w:val="20"/>
        </w:numPr>
        <w:jc w:val="both"/>
        <w:rPr>
          <w:color w:val="auto"/>
          <w:sz w:val="22"/>
          <w:szCs w:val="22"/>
          <w:lang w:bidi="ar-SA"/>
        </w:rPr>
      </w:pPr>
      <w:r w:rsidRPr="00AD52D9">
        <w:rPr>
          <w:color w:val="auto"/>
          <w:sz w:val="22"/>
          <w:szCs w:val="22"/>
          <w:lang w:bidi="ar-SA"/>
        </w:rPr>
        <w:t>Capacity building and skills development interventions</w:t>
      </w:r>
      <w:r w:rsidR="005E4A07" w:rsidRPr="00AD52D9">
        <w:rPr>
          <w:color w:val="auto"/>
          <w:sz w:val="22"/>
          <w:szCs w:val="22"/>
          <w:lang w:bidi="ar-SA"/>
        </w:rPr>
        <w:t>;</w:t>
      </w:r>
    </w:p>
    <w:p w:rsidR="00AD52D9" w:rsidRDefault="00054495" w:rsidP="007C2B43">
      <w:pPr>
        <w:widowControl/>
        <w:numPr>
          <w:ilvl w:val="0"/>
          <w:numId w:val="20"/>
        </w:numPr>
        <w:jc w:val="both"/>
        <w:rPr>
          <w:color w:val="auto"/>
          <w:sz w:val="22"/>
          <w:szCs w:val="22"/>
          <w:lang w:bidi="ar-SA"/>
        </w:rPr>
      </w:pPr>
      <w:r w:rsidRPr="00AD52D9">
        <w:rPr>
          <w:color w:val="auto"/>
          <w:sz w:val="22"/>
          <w:szCs w:val="22"/>
          <w:lang w:bidi="ar-SA"/>
        </w:rPr>
        <w:t>Scaling up of existing and innovative</w:t>
      </w:r>
      <w:r w:rsidR="004A7B10">
        <w:rPr>
          <w:color w:val="auto"/>
          <w:sz w:val="22"/>
          <w:szCs w:val="22"/>
          <w:lang w:bidi="ar-SA"/>
        </w:rPr>
        <w:t xml:space="preserve"> </w:t>
      </w:r>
      <w:r w:rsidR="00B24DC9" w:rsidRPr="00AD52D9">
        <w:rPr>
          <w:color w:val="auto"/>
          <w:sz w:val="22"/>
          <w:szCs w:val="22"/>
          <w:lang w:bidi="ar-SA"/>
        </w:rPr>
        <w:t>initiatives</w:t>
      </w:r>
      <w:r w:rsidRPr="00AD52D9">
        <w:rPr>
          <w:color w:val="auto"/>
          <w:sz w:val="22"/>
          <w:szCs w:val="22"/>
          <w:lang w:bidi="ar-SA"/>
        </w:rPr>
        <w:t xml:space="preserve"> focused on identified basic social services bottlenecks in the priority areas of the GTP2, EU-Ethiopia cooperation, and the Sustainable Development Goals</w:t>
      </w:r>
      <w:r w:rsidR="002E0831" w:rsidRPr="00AD52D9">
        <w:rPr>
          <w:color w:val="auto"/>
          <w:sz w:val="22"/>
          <w:szCs w:val="22"/>
          <w:lang w:bidi="ar-SA"/>
        </w:rPr>
        <w:t>;</w:t>
      </w:r>
    </w:p>
    <w:p w:rsidR="00054495" w:rsidRPr="00AD52D9" w:rsidRDefault="00054495" w:rsidP="007C2B43">
      <w:pPr>
        <w:widowControl/>
        <w:numPr>
          <w:ilvl w:val="0"/>
          <w:numId w:val="20"/>
        </w:numPr>
        <w:jc w:val="both"/>
        <w:rPr>
          <w:color w:val="auto"/>
          <w:sz w:val="22"/>
          <w:szCs w:val="22"/>
          <w:lang w:bidi="ar-SA"/>
        </w:rPr>
      </w:pPr>
      <w:r w:rsidRPr="00AD52D9">
        <w:rPr>
          <w:color w:val="auto"/>
          <w:sz w:val="22"/>
          <w:szCs w:val="22"/>
          <w:lang w:bidi="ar-SA"/>
        </w:rPr>
        <w:t xml:space="preserve">Development and </w:t>
      </w:r>
      <w:r w:rsidR="005E4A07" w:rsidRPr="00AD52D9">
        <w:rPr>
          <w:color w:val="auto"/>
          <w:sz w:val="22"/>
          <w:szCs w:val="22"/>
          <w:lang w:bidi="ar-SA"/>
        </w:rPr>
        <w:t>application</w:t>
      </w:r>
      <w:r w:rsidRPr="00AD52D9">
        <w:rPr>
          <w:color w:val="auto"/>
          <w:sz w:val="22"/>
          <w:szCs w:val="22"/>
          <w:lang w:bidi="ar-SA"/>
        </w:rPr>
        <w:t xml:space="preserve"> of tools, mechanisms, systems, methodologies;</w:t>
      </w:r>
    </w:p>
    <w:p w:rsidR="00054495" w:rsidRPr="002E0831" w:rsidRDefault="00054495" w:rsidP="007C2B43">
      <w:pPr>
        <w:widowControl/>
        <w:numPr>
          <w:ilvl w:val="0"/>
          <w:numId w:val="20"/>
        </w:numPr>
        <w:jc w:val="both"/>
        <w:rPr>
          <w:color w:val="auto"/>
          <w:sz w:val="22"/>
          <w:szCs w:val="22"/>
          <w:lang w:bidi="ar-SA"/>
        </w:rPr>
      </w:pPr>
      <w:r w:rsidRPr="002E0831">
        <w:rPr>
          <w:color w:val="auto"/>
          <w:sz w:val="22"/>
          <w:szCs w:val="22"/>
          <w:lang w:bidi="ar-SA"/>
        </w:rPr>
        <w:t>Strategic public interest litigation (including but not limited to class action or constitutional litigation) and quasi-judicial and non-judicial redress mechanisms;</w:t>
      </w:r>
    </w:p>
    <w:p w:rsidR="00054495" w:rsidRPr="002E0831" w:rsidRDefault="00054495" w:rsidP="007C2B43">
      <w:pPr>
        <w:widowControl/>
        <w:numPr>
          <w:ilvl w:val="0"/>
          <w:numId w:val="20"/>
        </w:numPr>
        <w:jc w:val="both"/>
        <w:rPr>
          <w:color w:val="auto"/>
          <w:sz w:val="22"/>
          <w:szCs w:val="22"/>
          <w:lang w:bidi="ar-SA"/>
        </w:rPr>
      </w:pPr>
      <w:r w:rsidRPr="002E0831">
        <w:rPr>
          <w:color w:val="auto"/>
          <w:sz w:val="22"/>
          <w:szCs w:val="22"/>
          <w:lang w:bidi="ar-SA"/>
        </w:rPr>
        <w:t>Advocacy;</w:t>
      </w:r>
    </w:p>
    <w:p w:rsidR="00054495" w:rsidRPr="002E0831" w:rsidRDefault="00054495" w:rsidP="007C2B43">
      <w:pPr>
        <w:widowControl/>
        <w:numPr>
          <w:ilvl w:val="0"/>
          <w:numId w:val="20"/>
        </w:numPr>
        <w:jc w:val="both"/>
        <w:rPr>
          <w:color w:val="0D0D0D"/>
          <w:sz w:val="22"/>
          <w:szCs w:val="22"/>
          <w:lang w:bidi="ar-SA"/>
        </w:rPr>
      </w:pPr>
      <w:r w:rsidRPr="002E0831">
        <w:rPr>
          <w:color w:val="0D0D0D"/>
          <w:sz w:val="22"/>
          <w:szCs w:val="22"/>
          <w:lang w:bidi="ar-SA"/>
        </w:rPr>
        <w:t>Local consultation processes and community/constituency mobilisation interventions;</w:t>
      </w:r>
    </w:p>
    <w:p w:rsidR="00054495" w:rsidRPr="002E0831" w:rsidRDefault="00054495" w:rsidP="007C2B43">
      <w:pPr>
        <w:widowControl/>
        <w:numPr>
          <w:ilvl w:val="0"/>
          <w:numId w:val="20"/>
        </w:numPr>
        <w:jc w:val="both"/>
        <w:rPr>
          <w:color w:val="0D0D0D"/>
          <w:sz w:val="22"/>
          <w:szCs w:val="22"/>
          <w:lang w:bidi="ar-SA"/>
        </w:rPr>
      </w:pPr>
      <w:r w:rsidRPr="002E0831">
        <w:rPr>
          <w:color w:val="0D0D0D"/>
          <w:sz w:val="22"/>
          <w:szCs w:val="22"/>
          <w:lang w:bidi="ar-SA"/>
        </w:rPr>
        <w:t>Joint projects, alliance</w:t>
      </w:r>
      <w:r w:rsidR="00AD52D9">
        <w:rPr>
          <w:color w:val="0D0D0D"/>
          <w:sz w:val="22"/>
          <w:szCs w:val="22"/>
          <w:lang w:bidi="ar-SA"/>
        </w:rPr>
        <w:t>s</w:t>
      </w:r>
      <w:r w:rsidRPr="002E0831">
        <w:rPr>
          <w:color w:val="0D0D0D"/>
          <w:sz w:val="22"/>
          <w:szCs w:val="22"/>
          <w:lang w:bidi="ar-SA"/>
        </w:rPr>
        <w:t xml:space="preserve"> or partnership formation, network</w:t>
      </w:r>
      <w:r w:rsidR="005E4A07" w:rsidRPr="002E0831">
        <w:rPr>
          <w:color w:val="0D0D0D"/>
          <w:sz w:val="22"/>
          <w:szCs w:val="22"/>
          <w:lang w:bidi="ar-SA"/>
        </w:rPr>
        <w:t xml:space="preserve">ing and coalition </w:t>
      </w:r>
      <w:r w:rsidRPr="002E0831">
        <w:rPr>
          <w:color w:val="0D0D0D"/>
          <w:sz w:val="22"/>
          <w:szCs w:val="22"/>
          <w:lang w:bidi="ar-SA"/>
        </w:rPr>
        <w:t>building;</w:t>
      </w:r>
    </w:p>
    <w:p w:rsidR="00054495" w:rsidRPr="002E0831" w:rsidRDefault="00054495" w:rsidP="007C2B43">
      <w:pPr>
        <w:widowControl/>
        <w:numPr>
          <w:ilvl w:val="0"/>
          <w:numId w:val="20"/>
        </w:numPr>
        <w:jc w:val="both"/>
        <w:rPr>
          <w:color w:val="auto"/>
          <w:sz w:val="22"/>
          <w:szCs w:val="22"/>
          <w:lang w:bidi="ar-SA"/>
        </w:rPr>
      </w:pPr>
      <w:r w:rsidRPr="002E0831">
        <w:rPr>
          <w:color w:val="auto"/>
          <w:sz w:val="22"/>
          <w:szCs w:val="22"/>
          <w:lang w:bidi="ar-SA"/>
        </w:rPr>
        <w:t>Research actions in support of other activities (especially participatory forms of research);</w:t>
      </w:r>
    </w:p>
    <w:p w:rsidR="00054495" w:rsidRPr="002E0831" w:rsidRDefault="00054495" w:rsidP="007C2B43">
      <w:pPr>
        <w:widowControl/>
        <w:numPr>
          <w:ilvl w:val="0"/>
          <w:numId w:val="20"/>
        </w:numPr>
        <w:jc w:val="both"/>
        <w:rPr>
          <w:color w:val="auto"/>
          <w:sz w:val="22"/>
          <w:szCs w:val="22"/>
          <w:lang w:bidi="ar-SA"/>
        </w:rPr>
      </w:pPr>
      <w:r w:rsidRPr="002E0831">
        <w:rPr>
          <w:color w:val="auto"/>
          <w:sz w:val="22"/>
          <w:szCs w:val="22"/>
          <w:lang w:bidi="ar-SA"/>
        </w:rPr>
        <w:t xml:space="preserve">Participation in </w:t>
      </w:r>
      <w:r w:rsidR="005E4A07" w:rsidRPr="002E0831">
        <w:rPr>
          <w:color w:val="auto"/>
          <w:sz w:val="22"/>
          <w:szCs w:val="22"/>
          <w:lang w:bidi="ar-SA"/>
        </w:rPr>
        <w:t>policy</w:t>
      </w:r>
      <w:r w:rsidR="004A7B10">
        <w:rPr>
          <w:color w:val="auto"/>
          <w:sz w:val="22"/>
          <w:szCs w:val="22"/>
          <w:lang w:bidi="ar-SA"/>
        </w:rPr>
        <w:t xml:space="preserve"> </w:t>
      </w:r>
      <w:r w:rsidR="005E4A07" w:rsidRPr="002E0831">
        <w:rPr>
          <w:color w:val="auto"/>
          <w:sz w:val="22"/>
          <w:szCs w:val="22"/>
          <w:lang w:bidi="ar-SA"/>
        </w:rPr>
        <w:t xml:space="preserve">and legal </w:t>
      </w:r>
      <w:r w:rsidRPr="002E0831">
        <w:rPr>
          <w:color w:val="auto"/>
          <w:sz w:val="22"/>
          <w:szCs w:val="22"/>
          <w:lang w:bidi="ar-SA"/>
        </w:rPr>
        <w:t>processes and oversight initiatives;</w:t>
      </w:r>
    </w:p>
    <w:p w:rsidR="00054495" w:rsidRPr="002E0831" w:rsidRDefault="00054495" w:rsidP="007C2B43">
      <w:pPr>
        <w:widowControl/>
        <w:numPr>
          <w:ilvl w:val="0"/>
          <w:numId w:val="20"/>
        </w:numPr>
        <w:jc w:val="both"/>
        <w:rPr>
          <w:color w:val="auto"/>
          <w:sz w:val="22"/>
          <w:szCs w:val="22"/>
          <w:lang w:bidi="ar-SA"/>
        </w:rPr>
      </w:pPr>
      <w:r w:rsidRPr="002E0831">
        <w:rPr>
          <w:color w:val="auto"/>
          <w:sz w:val="22"/>
          <w:szCs w:val="22"/>
          <w:lang w:bidi="ar-SA"/>
        </w:rPr>
        <w:t xml:space="preserve">Civic engagement in </w:t>
      </w:r>
      <w:r w:rsidR="005E4A07" w:rsidRPr="002E0831">
        <w:rPr>
          <w:color w:val="auto"/>
          <w:sz w:val="22"/>
          <w:szCs w:val="22"/>
          <w:lang w:bidi="ar-SA"/>
        </w:rPr>
        <w:t xml:space="preserve">policy formulation and </w:t>
      </w:r>
      <w:r w:rsidRPr="002E0831">
        <w:rPr>
          <w:color w:val="auto"/>
          <w:sz w:val="22"/>
          <w:szCs w:val="22"/>
          <w:lang w:bidi="ar-SA"/>
        </w:rPr>
        <w:t>monitoring</w:t>
      </w:r>
      <w:r w:rsidR="005E4A07" w:rsidRPr="002E0831">
        <w:rPr>
          <w:color w:val="auto"/>
          <w:sz w:val="22"/>
          <w:szCs w:val="22"/>
          <w:lang w:bidi="ar-SA"/>
        </w:rPr>
        <w:t>;</w:t>
      </w:r>
    </w:p>
    <w:p w:rsidR="00054495" w:rsidRPr="002E0831" w:rsidRDefault="00054495" w:rsidP="007C2B43">
      <w:pPr>
        <w:widowControl/>
        <w:numPr>
          <w:ilvl w:val="0"/>
          <w:numId w:val="20"/>
        </w:numPr>
        <w:jc w:val="both"/>
        <w:rPr>
          <w:color w:val="auto"/>
          <w:sz w:val="22"/>
          <w:szCs w:val="22"/>
          <w:lang w:bidi="ar-SA"/>
        </w:rPr>
      </w:pPr>
      <w:r w:rsidRPr="002E0831">
        <w:rPr>
          <w:color w:val="auto"/>
          <w:sz w:val="22"/>
          <w:szCs w:val="22"/>
          <w:lang w:bidi="ar-SA"/>
        </w:rPr>
        <w:lastRenderedPageBreak/>
        <w:t>Civic and public education and information sharing;</w:t>
      </w:r>
    </w:p>
    <w:p w:rsidR="00054495" w:rsidRPr="002E0831" w:rsidRDefault="00054495" w:rsidP="007C2B43">
      <w:pPr>
        <w:widowControl/>
        <w:numPr>
          <w:ilvl w:val="0"/>
          <w:numId w:val="20"/>
        </w:numPr>
        <w:jc w:val="both"/>
        <w:rPr>
          <w:color w:val="auto"/>
          <w:sz w:val="22"/>
          <w:szCs w:val="22"/>
          <w:lang w:bidi="ar-SA"/>
        </w:rPr>
      </w:pPr>
      <w:r w:rsidRPr="002E0831">
        <w:rPr>
          <w:color w:val="auto"/>
          <w:sz w:val="22"/>
          <w:szCs w:val="22"/>
          <w:lang w:bidi="ar-SA"/>
        </w:rPr>
        <w:t>Production, collection and dissemination of knowledge</w:t>
      </w:r>
      <w:r w:rsidR="005E4A07" w:rsidRPr="002E0831">
        <w:rPr>
          <w:color w:val="auto"/>
          <w:sz w:val="22"/>
          <w:szCs w:val="22"/>
          <w:lang w:bidi="ar-SA"/>
        </w:rPr>
        <w:t>;</w:t>
      </w:r>
    </w:p>
    <w:p w:rsidR="005E4A07" w:rsidRPr="005E1DBC" w:rsidRDefault="005E4A07" w:rsidP="007C2B43">
      <w:pPr>
        <w:widowControl/>
        <w:numPr>
          <w:ilvl w:val="0"/>
          <w:numId w:val="20"/>
        </w:numPr>
        <w:jc w:val="both"/>
        <w:rPr>
          <w:color w:val="auto"/>
          <w:sz w:val="22"/>
          <w:szCs w:val="22"/>
          <w:lang w:bidi="ar-SA"/>
        </w:rPr>
      </w:pPr>
      <w:r w:rsidRPr="005E1DBC">
        <w:rPr>
          <w:color w:val="auto"/>
          <w:sz w:val="22"/>
          <w:szCs w:val="22"/>
          <w:lang w:bidi="ar-SA"/>
        </w:rPr>
        <w:t>Awareness raising;</w:t>
      </w:r>
    </w:p>
    <w:p w:rsidR="00AE53CD" w:rsidRPr="005E1DBC" w:rsidRDefault="003C4F30" w:rsidP="007C2B43">
      <w:pPr>
        <w:widowControl/>
        <w:numPr>
          <w:ilvl w:val="0"/>
          <w:numId w:val="20"/>
        </w:numPr>
        <w:jc w:val="both"/>
        <w:rPr>
          <w:color w:val="auto"/>
          <w:sz w:val="22"/>
          <w:szCs w:val="22"/>
          <w:lang w:bidi="ar-SA"/>
        </w:rPr>
      </w:pPr>
      <w:r w:rsidRPr="005E1DBC">
        <w:rPr>
          <w:color w:val="auto"/>
          <w:sz w:val="22"/>
          <w:szCs w:val="22"/>
          <w:lang w:bidi="ar-SA"/>
        </w:rPr>
        <w:t>Building platforms for civic engagement</w:t>
      </w:r>
      <w:r w:rsidR="005E4A07" w:rsidRPr="005E1DBC">
        <w:rPr>
          <w:color w:val="auto"/>
          <w:sz w:val="22"/>
          <w:szCs w:val="22"/>
          <w:lang w:bidi="ar-SA"/>
        </w:rPr>
        <w:t>.</w:t>
      </w:r>
    </w:p>
    <w:p w:rsidR="00DD0985" w:rsidRDefault="00DD0985" w:rsidP="007C2B43">
      <w:pPr>
        <w:pStyle w:val="Bodytext21"/>
        <w:shd w:val="clear" w:color="auto" w:fill="auto"/>
        <w:spacing w:before="0" w:after="0" w:line="240" w:lineRule="auto"/>
        <w:ind w:firstLine="0"/>
        <w:rPr>
          <w:rStyle w:val="Bodytext26"/>
        </w:rPr>
      </w:pPr>
    </w:p>
    <w:p w:rsidR="000B5BFC" w:rsidRDefault="00764274" w:rsidP="007C2B43">
      <w:pPr>
        <w:pStyle w:val="Bodytext21"/>
        <w:shd w:val="clear" w:color="auto" w:fill="auto"/>
        <w:spacing w:before="0" w:after="0" w:line="240" w:lineRule="auto"/>
        <w:ind w:firstLine="0"/>
      </w:pPr>
      <w:r>
        <w:rPr>
          <w:rStyle w:val="Bodytext26"/>
        </w:rPr>
        <w:t>Financial support to third parties</w:t>
      </w:r>
      <w:r>
        <w:rPr>
          <w:rStyle w:val="Bodytext26"/>
          <w:vertAlign w:val="superscript"/>
        </w:rPr>
        <w:footnoteReference w:id="11"/>
      </w:r>
    </w:p>
    <w:p w:rsidR="000B5BFC" w:rsidRDefault="00764274" w:rsidP="007C2B43">
      <w:pPr>
        <w:pStyle w:val="Bodytext21"/>
        <w:shd w:val="clear" w:color="auto" w:fill="auto"/>
        <w:spacing w:before="0" w:after="0" w:line="240" w:lineRule="auto"/>
        <w:ind w:firstLine="0"/>
      </w:pPr>
      <w:r>
        <w:t>Applicants may propose financial support to third parties in order to help achieving the objectives of the action.</w:t>
      </w:r>
    </w:p>
    <w:p w:rsidR="000B5BFC" w:rsidRDefault="00764274" w:rsidP="007C2B43">
      <w:pPr>
        <w:pStyle w:val="Bodytext21"/>
        <w:shd w:val="clear" w:color="auto" w:fill="auto"/>
        <w:spacing w:before="0" w:after="0" w:line="240" w:lineRule="auto"/>
        <w:ind w:firstLine="0"/>
      </w:pPr>
      <w:r>
        <w:t>The maximum amount of financial support per third party is EUR 60 000</w:t>
      </w:r>
      <w:r w:rsidR="00B6686F">
        <w:t xml:space="preserve">. </w:t>
      </w:r>
    </w:p>
    <w:p w:rsidR="005C6BF0" w:rsidRDefault="005C6BF0" w:rsidP="007C2B43">
      <w:pPr>
        <w:pStyle w:val="Bodytext21"/>
        <w:shd w:val="clear" w:color="auto" w:fill="auto"/>
        <w:spacing w:before="0" w:after="0" w:line="240" w:lineRule="auto"/>
        <w:ind w:firstLine="0"/>
      </w:pPr>
    </w:p>
    <w:p w:rsidR="000B5BFC" w:rsidRPr="00C41A3F" w:rsidRDefault="00764274" w:rsidP="007C2B43">
      <w:pPr>
        <w:pStyle w:val="Bodytext21"/>
        <w:shd w:val="clear" w:color="auto" w:fill="auto"/>
        <w:spacing w:before="0" w:after="0" w:line="240" w:lineRule="auto"/>
        <w:ind w:firstLine="0"/>
        <w:rPr>
          <w:color w:val="FF0000"/>
        </w:rPr>
      </w:pPr>
      <w:r>
        <w:t xml:space="preserve">Under this call, financial support to third </w:t>
      </w:r>
      <w:r w:rsidR="001F4A2D">
        <w:t>parties is</w:t>
      </w:r>
      <w:r w:rsidR="00EE719A">
        <w:t xml:space="preserve"> not</w:t>
      </w:r>
      <w:r>
        <w:t xml:space="preserve"> considered essential to achieve the objective of the action.</w:t>
      </w:r>
    </w:p>
    <w:p w:rsidR="000B5BFC" w:rsidRDefault="00764274" w:rsidP="007C2B43">
      <w:pPr>
        <w:pStyle w:val="Bodytext21"/>
        <w:shd w:val="clear" w:color="auto" w:fill="auto"/>
        <w:spacing w:before="0" w:after="0" w:line="240" w:lineRule="auto"/>
        <w:ind w:firstLine="0"/>
      </w:pPr>
      <w:r w:rsidRPr="00B6686F">
        <w:t>In compliance with the present guidelines and notably of any conditions or restrictions in this Section, the lead applicant should define mandatorily in Section 2.1.1 of the grant application form:</w:t>
      </w:r>
    </w:p>
    <w:p w:rsidR="00DD0985" w:rsidRDefault="00DD0985" w:rsidP="007C2B43">
      <w:pPr>
        <w:pStyle w:val="Bodytext21"/>
        <w:shd w:val="clear" w:color="auto" w:fill="auto"/>
        <w:spacing w:before="0" w:after="0" w:line="240" w:lineRule="auto"/>
        <w:ind w:firstLine="0"/>
      </w:pPr>
    </w:p>
    <w:p w:rsidR="000B5BFC" w:rsidRDefault="00764274" w:rsidP="007C2B43">
      <w:pPr>
        <w:pStyle w:val="Bodytext21"/>
        <w:numPr>
          <w:ilvl w:val="0"/>
          <w:numId w:val="10"/>
        </w:numPr>
        <w:shd w:val="clear" w:color="auto" w:fill="auto"/>
        <w:tabs>
          <w:tab w:val="left" w:pos="933"/>
        </w:tabs>
        <w:spacing w:before="0" w:after="0" w:line="240" w:lineRule="auto"/>
        <w:ind w:left="940" w:hanging="420"/>
      </w:pPr>
      <w:r>
        <w:t>the overall objectives, the specific objective(s) and the outputs</w:t>
      </w:r>
      <w:r>
        <w:rPr>
          <w:vertAlign w:val="superscript"/>
        </w:rPr>
        <w:footnoteReference w:id="12"/>
      </w:r>
      <w:r>
        <w:t xml:space="preserve"> (i.e. the results) to be achieved with the financial support</w:t>
      </w:r>
    </w:p>
    <w:p w:rsidR="000B5BFC" w:rsidRDefault="00764274" w:rsidP="007C2B43">
      <w:pPr>
        <w:pStyle w:val="Bodytext21"/>
        <w:numPr>
          <w:ilvl w:val="0"/>
          <w:numId w:val="10"/>
        </w:numPr>
        <w:shd w:val="clear" w:color="auto" w:fill="auto"/>
        <w:tabs>
          <w:tab w:val="left" w:pos="960"/>
        </w:tabs>
        <w:spacing w:before="0" w:after="0" w:line="240" w:lineRule="auto"/>
        <w:ind w:left="940" w:hanging="420"/>
      </w:pPr>
      <w:r>
        <w:t>the different types of activities eligible for financial support, on the basis of a fixed list</w:t>
      </w:r>
    </w:p>
    <w:p w:rsidR="000B5BFC" w:rsidRDefault="00764274" w:rsidP="007C2B43">
      <w:pPr>
        <w:pStyle w:val="Bodytext21"/>
        <w:numPr>
          <w:ilvl w:val="0"/>
          <w:numId w:val="10"/>
        </w:numPr>
        <w:shd w:val="clear" w:color="auto" w:fill="auto"/>
        <w:tabs>
          <w:tab w:val="left" w:pos="1023"/>
        </w:tabs>
        <w:spacing w:before="0" w:after="0" w:line="240" w:lineRule="auto"/>
        <w:ind w:left="940" w:hanging="420"/>
      </w:pPr>
      <w:r>
        <w:t>the types of persons or categories of persons which may receive financial support</w:t>
      </w:r>
    </w:p>
    <w:p w:rsidR="000B5BFC" w:rsidRDefault="00764274" w:rsidP="007C2B43">
      <w:pPr>
        <w:pStyle w:val="Bodytext21"/>
        <w:numPr>
          <w:ilvl w:val="0"/>
          <w:numId w:val="10"/>
        </w:numPr>
        <w:shd w:val="clear" w:color="auto" w:fill="auto"/>
        <w:tabs>
          <w:tab w:val="left" w:pos="1008"/>
        </w:tabs>
        <w:spacing w:before="0" w:after="0" w:line="240" w:lineRule="auto"/>
        <w:ind w:left="940" w:hanging="420"/>
      </w:pPr>
      <w:r>
        <w:t>the criteria for selecting these entities and giving the financial support</w:t>
      </w:r>
    </w:p>
    <w:p w:rsidR="000B5BFC" w:rsidRDefault="00764274" w:rsidP="007C2B43">
      <w:pPr>
        <w:pStyle w:val="Bodytext21"/>
        <w:numPr>
          <w:ilvl w:val="0"/>
          <w:numId w:val="10"/>
        </w:numPr>
        <w:shd w:val="clear" w:color="auto" w:fill="auto"/>
        <w:tabs>
          <w:tab w:val="left" w:pos="1008"/>
        </w:tabs>
        <w:spacing w:before="0" w:after="0" w:line="240" w:lineRule="auto"/>
        <w:ind w:left="940" w:hanging="420"/>
      </w:pPr>
      <w:r>
        <w:t>the criteria for determining the exact amount of financial support for each third entity, and</w:t>
      </w:r>
    </w:p>
    <w:p w:rsidR="000B5BFC" w:rsidRDefault="00764274" w:rsidP="007C2B43">
      <w:pPr>
        <w:pStyle w:val="Bodytext21"/>
        <w:numPr>
          <w:ilvl w:val="0"/>
          <w:numId w:val="10"/>
        </w:numPr>
        <w:shd w:val="clear" w:color="auto" w:fill="auto"/>
        <w:tabs>
          <w:tab w:val="left" w:pos="1008"/>
        </w:tabs>
        <w:spacing w:before="0" w:after="0" w:line="240" w:lineRule="auto"/>
        <w:ind w:left="940" w:hanging="420"/>
      </w:pPr>
      <w:r>
        <w:t>the maximum amount which may be given.</w:t>
      </w:r>
    </w:p>
    <w:p w:rsidR="001F4A2D" w:rsidRDefault="001F4A2D"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 xml:space="preserve">In all events, the mandatory conditions set above for giving financial support (points </w:t>
      </w:r>
      <w:r>
        <w:rPr>
          <w:lang w:val="lt-LT" w:eastAsia="lt-LT" w:bidi="lt-LT"/>
        </w:rPr>
        <w:t xml:space="preserve">(i) </w:t>
      </w:r>
      <w:r>
        <w:t xml:space="preserve">to </w:t>
      </w:r>
      <w:r w:rsidRPr="007869AD">
        <w:rPr>
          <w:lang w:eastAsia="it-IT" w:bidi="it-IT"/>
        </w:rPr>
        <w:t xml:space="preserve">(vi)) </w:t>
      </w:r>
      <w:r>
        <w:t>have to be</w:t>
      </w:r>
    </w:p>
    <w:p w:rsidR="000B5BFC" w:rsidRDefault="00764274" w:rsidP="007C2B43">
      <w:pPr>
        <w:pStyle w:val="Bodytext21"/>
        <w:shd w:val="clear" w:color="auto" w:fill="auto"/>
        <w:spacing w:before="0" w:after="0" w:line="240" w:lineRule="auto"/>
        <w:ind w:firstLine="0"/>
      </w:pPr>
      <w:r>
        <w:t>strictly defined in the grant contract as to avoid any exercise of discretion.</w:t>
      </w:r>
    </w:p>
    <w:p w:rsidR="00B6686F" w:rsidRDefault="00B6686F" w:rsidP="007C2B43">
      <w:pPr>
        <w:pStyle w:val="Bodytext21"/>
        <w:shd w:val="clear" w:color="auto" w:fill="auto"/>
        <w:spacing w:before="0" w:after="0" w:line="240" w:lineRule="auto"/>
        <w:ind w:firstLine="0"/>
      </w:pPr>
    </w:p>
    <w:p w:rsidR="000B5BFC" w:rsidRPr="007869AD" w:rsidRDefault="00764274" w:rsidP="007C2B43">
      <w:pPr>
        <w:pStyle w:val="Bodytext21"/>
        <w:shd w:val="clear" w:color="auto" w:fill="auto"/>
        <w:spacing w:before="0" w:after="0" w:line="240" w:lineRule="auto"/>
        <w:ind w:firstLine="0"/>
        <w:rPr>
          <w:u w:val="single"/>
        </w:rPr>
      </w:pPr>
      <w:r w:rsidRPr="00DA2609">
        <w:rPr>
          <w:rStyle w:val="Bodytext26"/>
        </w:rPr>
        <w:t>Visibility</w:t>
      </w:r>
    </w:p>
    <w:p w:rsidR="000B5BFC" w:rsidRDefault="00764274" w:rsidP="007C2B43">
      <w:pPr>
        <w:pStyle w:val="Bodytext21"/>
        <w:shd w:val="clear" w:color="auto" w:fill="auto"/>
        <w:spacing w:before="0" w:after="0" w:line="240" w:lineRule="auto"/>
        <w:ind w:firstLine="0"/>
      </w:pPr>
      <w:r>
        <w:t xml:space="preserve">The applicants must take all necessary steps to publicise the fact that the European Union has financed or </w:t>
      </w:r>
      <w:r w:rsidR="00AD52D9">
        <w:t>financed</w:t>
      </w:r>
      <w:r>
        <w:t xml:space="preserve"> the action. As far as possible, actions that are wholly or partially funded by the European Union must incorporate information and communication activities designed to </w:t>
      </w:r>
      <w:r>
        <w:rPr>
          <w:lang w:val="cs-CZ" w:eastAsia="cs-CZ" w:bidi="cs-CZ"/>
        </w:rPr>
        <w:t xml:space="preserve">raise </w:t>
      </w:r>
      <w:r>
        <w:t>the awareness of specific or general audiences of the reasons for the action and the EU support for the action in the country or region concerned, as well as the results and the impact of this support.</w:t>
      </w:r>
    </w:p>
    <w:p w:rsidR="00321B6F" w:rsidRDefault="00321B6F" w:rsidP="007C2B43">
      <w:pPr>
        <w:pStyle w:val="Bodytext21"/>
        <w:shd w:val="clear" w:color="auto" w:fill="auto"/>
        <w:spacing w:before="0" w:after="0" w:line="240" w:lineRule="auto"/>
        <w:ind w:firstLine="0"/>
      </w:pPr>
    </w:p>
    <w:p w:rsidR="0054467E" w:rsidRDefault="00764274" w:rsidP="007C2B43">
      <w:pPr>
        <w:pStyle w:val="Bodytext21"/>
        <w:shd w:val="clear" w:color="auto" w:fill="auto"/>
        <w:spacing w:before="0" w:after="0" w:line="240" w:lineRule="auto"/>
        <w:ind w:firstLine="0"/>
      </w:pPr>
      <w:r>
        <w:t xml:space="preserve">Applicants must comply with the objectives and priorities and guarantee the visibility of the EU financing (see the Communication and Visibility Manual for EU external </w:t>
      </w:r>
      <w:r w:rsidRPr="007869AD">
        <w:rPr>
          <w:lang w:eastAsia="da-DK" w:bidi="da-DK"/>
        </w:rPr>
        <w:t xml:space="preserve">actions </w:t>
      </w:r>
      <w:r>
        <w:t>specified and published by the European Commission at</w:t>
      </w:r>
      <w:r w:rsidR="0054467E">
        <w:t>:</w:t>
      </w:r>
    </w:p>
    <w:p w:rsidR="00321B6F" w:rsidRDefault="00321B6F" w:rsidP="007C2B43">
      <w:pPr>
        <w:pStyle w:val="Bodytext21"/>
        <w:shd w:val="clear" w:color="auto" w:fill="auto"/>
        <w:spacing w:before="0" w:after="0" w:line="240" w:lineRule="auto"/>
        <w:ind w:firstLine="0"/>
      </w:pPr>
    </w:p>
    <w:p w:rsidR="000B5BFC" w:rsidRPr="00DD7216" w:rsidRDefault="006A0C0F" w:rsidP="007C2B43">
      <w:pPr>
        <w:pStyle w:val="Bodytext21"/>
        <w:shd w:val="clear" w:color="auto" w:fill="auto"/>
        <w:spacing w:before="0" w:after="0" w:line="240" w:lineRule="auto"/>
        <w:ind w:firstLine="0"/>
        <w:rPr>
          <w:lang w:eastAsia="fr-FR" w:bidi="fr-FR"/>
        </w:rPr>
      </w:pPr>
      <w:hyperlink r:id="rId12" w:history="1">
        <w:r w:rsidR="0054467E" w:rsidRPr="00DD7216">
          <w:rPr>
            <w:rStyle w:val="Hyperlink"/>
          </w:rPr>
          <w:t>http://ec.europa.eu/europeaid/funding/communication-and-visibility-manual-eu-</w:t>
        </w:r>
      </w:hyperlink>
      <w:hyperlink r:id="rId13" w:history="1">
        <w:r w:rsidR="00764274" w:rsidRPr="00DD7216">
          <w:rPr>
            <w:rStyle w:val="Bodytext27"/>
            <w:lang w:val="en-GB"/>
          </w:rPr>
          <w:t xml:space="preserve">external-actions </w:t>
        </w:r>
        <w:proofErr w:type="spellStart"/>
        <w:r w:rsidR="00764274" w:rsidRPr="00DD7216">
          <w:rPr>
            <w:rStyle w:val="Bodytext27"/>
            <w:lang w:val="en-GB" w:eastAsia="fr-FR" w:bidi="fr-FR"/>
          </w:rPr>
          <w:t>en</w:t>
        </w:r>
        <w:proofErr w:type="spellEnd"/>
        <w:r w:rsidR="00764274" w:rsidRPr="00DD7216">
          <w:rPr>
            <w:rStyle w:val="Bodytext26"/>
            <w:lang w:val="en-GB" w:eastAsia="fr-FR" w:bidi="fr-FR"/>
          </w:rPr>
          <w:t>)</w:t>
        </w:r>
      </w:hyperlink>
      <w:r w:rsidR="00764274" w:rsidRPr="00DD7216">
        <w:rPr>
          <w:lang w:eastAsia="fr-FR" w:bidi="fr-FR"/>
        </w:rPr>
        <w:t>.</w:t>
      </w:r>
    </w:p>
    <w:p w:rsidR="00321B6F" w:rsidRPr="00DD7216" w:rsidRDefault="00321B6F" w:rsidP="007C2B43">
      <w:pPr>
        <w:pStyle w:val="Bodytext21"/>
        <w:shd w:val="clear" w:color="auto" w:fill="auto"/>
        <w:spacing w:before="0" w:after="0" w:line="240" w:lineRule="auto"/>
        <w:ind w:firstLine="0"/>
      </w:pPr>
    </w:p>
    <w:p w:rsidR="000B5BFC" w:rsidRPr="0054467E" w:rsidRDefault="00764274" w:rsidP="007C2B43">
      <w:pPr>
        <w:pStyle w:val="Bodytext21"/>
        <w:shd w:val="clear" w:color="auto" w:fill="auto"/>
        <w:spacing w:before="0" w:after="0" w:line="240" w:lineRule="auto"/>
        <w:ind w:firstLine="0"/>
        <w:rPr>
          <w:b/>
          <w:u w:val="single"/>
        </w:rPr>
      </w:pPr>
      <w:r w:rsidRPr="0054467E">
        <w:rPr>
          <w:b/>
          <w:u w:val="single"/>
        </w:rPr>
        <w:t xml:space="preserve">Number of applications and grants per applicants </w:t>
      </w:r>
      <w:r w:rsidRPr="0054467E">
        <w:rPr>
          <w:b/>
          <w:u w:val="single"/>
          <w:lang w:val="bg-BG" w:eastAsia="bg-BG" w:bidi="bg-BG"/>
        </w:rPr>
        <w:t xml:space="preserve">/ </w:t>
      </w:r>
      <w:r w:rsidRPr="0054467E">
        <w:rPr>
          <w:b/>
          <w:u w:val="single"/>
        </w:rPr>
        <w:t>affiliated entities</w:t>
      </w:r>
    </w:p>
    <w:p w:rsidR="000B5BFC" w:rsidRDefault="00764274" w:rsidP="007C2B43">
      <w:pPr>
        <w:pStyle w:val="Bodytext21"/>
        <w:shd w:val="clear" w:color="auto" w:fill="auto"/>
        <w:spacing w:before="0" w:after="0" w:line="240" w:lineRule="auto"/>
        <w:ind w:firstLine="0"/>
      </w:pPr>
      <w:r>
        <w:t xml:space="preserve">The lead applicant may not submit more than </w:t>
      </w:r>
      <w:r w:rsidR="0054467E">
        <w:t>1</w:t>
      </w:r>
      <w:r>
        <w:t xml:space="preserve"> application under this call for proposals.</w:t>
      </w:r>
    </w:p>
    <w:p w:rsidR="000B5BFC" w:rsidRDefault="00764274" w:rsidP="007C2B43">
      <w:pPr>
        <w:pStyle w:val="Bodytext21"/>
        <w:shd w:val="clear" w:color="auto" w:fill="auto"/>
        <w:spacing w:before="0" w:after="0" w:line="240" w:lineRule="auto"/>
        <w:ind w:firstLine="0"/>
      </w:pPr>
      <w:r>
        <w:t xml:space="preserve">The lead applicant may not be awarded more than </w:t>
      </w:r>
      <w:r w:rsidR="0054467E">
        <w:t>1</w:t>
      </w:r>
      <w:r w:rsidR="00AE7825">
        <w:t xml:space="preserve"> </w:t>
      </w:r>
      <w:r w:rsidR="00C41A3F">
        <w:t xml:space="preserve">grant </w:t>
      </w:r>
      <w:r w:rsidR="00C41A3F" w:rsidRPr="00C41A3F">
        <w:rPr>
          <w:color w:val="auto"/>
        </w:rPr>
        <w:t>under</w:t>
      </w:r>
      <w:r w:rsidR="00321B6F">
        <w:rPr>
          <w:color w:val="auto"/>
        </w:rPr>
        <w:t xml:space="preserve"> </w:t>
      </w:r>
      <w:r>
        <w:t>this call for proposals.</w:t>
      </w:r>
    </w:p>
    <w:p w:rsidR="000B5BFC" w:rsidRDefault="00764274" w:rsidP="007C2B43">
      <w:pPr>
        <w:pStyle w:val="Bodytext21"/>
        <w:shd w:val="clear" w:color="auto" w:fill="auto"/>
        <w:spacing w:before="0" w:after="0" w:line="240" w:lineRule="auto"/>
        <w:ind w:firstLine="0"/>
      </w:pPr>
      <w:r>
        <w:t>The lead applicant may</w:t>
      </w:r>
      <w:r w:rsidR="009763AA">
        <w:t xml:space="preserve"> </w:t>
      </w:r>
      <w:r>
        <w:t xml:space="preserve">be a co-applicant or an affiliated entity in </w:t>
      </w:r>
      <w:r w:rsidR="00CF1B6A">
        <w:t xml:space="preserve">only one </w:t>
      </w:r>
      <w:r>
        <w:t>other application</w:t>
      </w:r>
      <w:r w:rsidR="00CF1B6A">
        <w:t>, irrespective</w:t>
      </w:r>
      <w:r>
        <w:t xml:space="preserve"> of the lot at the same time.</w:t>
      </w:r>
    </w:p>
    <w:p w:rsidR="00781883" w:rsidRDefault="00764274" w:rsidP="007C2B43">
      <w:pPr>
        <w:pStyle w:val="Bodytext21"/>
        <w:shd w:val="clear" w:color="auto" w:fill="auto"/>
        <w:spacing w:before="0" w:after="0" w:line="240" w:lineRule="auto"/>
        <w:ind w:firstLine="0"/>
        <w:rPr>
          <w:color w:val="FF0000"/>
        </w:rPr>
      </w:pPr>
      <w:r>
        <w:t xml:space="preserve">A co-applicant/affiliated entity </w:t>
      </w:r>
      <w:r w:rsidR="00C41A3F">
        <w:t xml:space="preserve">may not </w:t>
      </w:r>
      <w:r>
        <w:t xml:space="preserve">be the co-applicant or affiliated entity in more than </w:t>
      </w:r>
      <w:r w:rsidR="00C41A3F">
        <w:t xml:space="preserve">two </w:t>
      </w:r>
      <w:r>
        <w:t>application</w:t>
      </w:r>
      <w:r w:rsidR="00C41A3F">
        <w:t>s</w:t>
      </w:r>
      <w:r>
        <w:t xml:space="preserve"> under this call for proposals</w:t>
      </w:r>
      <w:r w:rsidRPr="00781883">
        <w:rPr>
          <w:color w:val="FF0000"/>
        </w:rPr>
        <w:t>.</w:t>
      </w:r>
      <w:bookmarkStart w:id="26" w:name="_Hlk536437379"/>
    </w:p>
    <w:bookmarkEnd w:id="26"/>
    <w:p w:rsidR="00781883" w:rsidRDefault="00764274" w:rsidP="007C2B43">
      <w:pPr>
        <w:pStyle w:val="Bodytext21"/>
        <w:shd w:val="clear" w:color="auto" w:fill="auto"/>
        <w:spacing w:before="0" w:after="0" w:line="240" w:lineRule="auto"/>
        <w:ind w:firstLine="0"/>
      </w:pPr>
      <w:r>
        <w:t xml:space="preserve">A co-applicant/affiliated entity </w:t>
      </w:r>
      <w:r w:rsidR="00802930">
        <w:t>may not</w:t>
      </w:r>
      <w:r>
        <w:t xml:space="preserve"> be awarded more than </w:t>
      </w:r>
      <w:r w:rsidR="00802930">
        <w:t xml:space="preserve">two </w:t>
      </w:r>
      <w:r>
        <w:t>grants under this call for proposals.</w:t>
      </w:r>
    </w:p>
    <w:p w:rsidR="00354B7E" w:rsidRDefault="00354B7E" w:rsidP="007C2B43">
      <w:pPr>
        <w:pStyle w:val="Bodytext21"/>
        <w:shd w:val="clear" w:color="auto" w:fill="auto"/>
        <w:spacing w:before="0" w:after="0" w:line="240" w:lineRule="auto"/>
        <w:ind w:firstLine="0"/>
      </w:pPr>
    </w:p>
    <w:p w:rsidR="000B5BFC" w:rsidRPr="0030301F" w:rsidRDefault="0030301F" w:rsidP="007C2B43">
      <w:pPr>
        <w:pStyle w:val="Heading3"/>
        <w:pBdr>
          <w:top w:val="single" w:sz="4" w:space="1" w:color="auto"/>
          <w:left w:val="single" w:sz="4" w:space="4" w:color="auto"/>
          <w:bottom w:val="single" w:sz="4" w:space="1" w:color="auto"/>
          <w:right w:val="single" w:sz="4" w:space="4" w:color="auto"/>
        </w:pBdr>
        <w:spacing w:before="0"/>
        <w:jc w:val="both"/>
        <w:rPr>
          <w:rFonts w:ascii="Times New Roman" w:hAnsi="Times New Roman" w:cs="Times New Roman"/>
          <w:i/>
          <w:color w:val="auto"/>
        </w:rPr>
      </w:pPr>
      <w:bookmarkStart w:id="27" w:name="bookmark17"/>
      <w:bookmarkStart w:id="28" w:name="_Toc5010054"/>
      <w:r>
        <w:rPr>
          <w:rFonts w:ascii="Times New Roman" w:hAnsi="Times New Roman" w:cs="Times New Roman"/>
          <w:i/>
          <w:color w:val="auto"/>
        </w:rPr>
        <w:lastRenderedPageBreak/>
        <w:t xml:space="preserve">2.1.5. </w:t>
      </w:r>
      <w:r w:rsidR="00764274" w:rsidRPr="0030301F">
        <w:rPr>
          <w:rFonts w:ascii="Times New Roman" w:hAnsi="Times New Roman" w:cs="Times New Roman"/>
          <w:i/>
          <w:color w:val="auto"/>
        </w:rPr>
        <w:t>Eligibility of costs: costs that can be included</w:t>
      </w:r>
      <w:bookmarkEnd w:id="27"/>
      <w:bookmarkEnd w:id="28"/>
    </w:p>
    <w:p w:rsidR="00354B7E" w:rsidRDefault="00354B7E"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rsidRPr="00740315">
        <w:t>Only ‘eligible costs’</w:t>
      </w:r>
      <w:r>
        <w:t xml:space="preserve"> can be covered by a grant. The categories of costs that are eligible and non-eligible are indicated below. The budget is both a cost estimate and an overall ceiling for ‘eligible costs’.</w:t>
      </w:r>
    </w:p>
    <w:p w:rsidR="000B5BFC" w:rsidRPr="00781883" w:rsidRDefault="00764274" w:rsidP="007C2B43">
      <w:pPr>
        <w:pStyle w:val="Bodytext21"/>
        <w:shd w:val="clear" w:color="auto" w:fill="auto"/>
        <w:spacing w:before="0" w:after="0" w:line="240" w:lineRule="auto"/>
        <w:ind w:firstLine="0"/>
      </w:pPr>
      <w:r w:rsidRPr="00781883">
        <w:t>The reimbursement of eligible costs may be based on any or a combination of the following forms:</w:t>
      </w:r>
    </w:p>
    <w:p w:rsidR="000B5BFC" w:rsidRPr="00781883" w:rsidRDefault="00764274" w:rsidP="007C2B43">
      <w:pPr>
        <w:pStyle w:val="Bodytext21"/>
        <w:numPr>
          <w:ilvl w:val="0"/>
          <w:numId w:val="8"/>
        </w:numPr>
        <w:shd w:val="clear" w:color="auto" w:fill="auto"/>
        <w:tabs>
          <w:tab w:val="left" w:pos="790"/>
        </w:tabs>
        <w:spacing w:before="0" w:after="0" w:line="240" w:lineRule="auto"/>
        <w:ind w:left="780" w:hanging="380"/>
      </w:pPr>
      <w:r w:rsidRPr="00781883">
        <w:t>financing not linked to costs of the relevant operations based on:</w:t>
      </w:r>
    </w:p>
    <w:p w:rsidR="000B5BFC" w:rsidRDefault="00764274" w:rsidP="007C2B43">
      <w:pPr>
        <w:pStyle w:val="Bodytext21"/>
        <w:numPr>
          <w:ilvl w:val="0"/>
          <w:numId w:val="12"/>
        </w:numPr>
        <w:shd w:val="clear" w:color="auto" w:fill="auto"/>
        <w:tabs>
          <w:tab w:val="left" w:pos="1170"/>
        </w:tabs>
        <w:spacing w:before="0" w:after="0" w:line="240" w:lineRule="auto"/>
        <w:ind w:firstLine="780"/>
      </w:pPr>
      <w:r>
        <w:t>either the fulfilment of conditions set out in sector specific legislation or Commission Decisions; or</w:t>
      </w:r>
    </w:p>
    <w:p w:rsidR="000B5BFC" w:rsidRDefault="00764274" w:rsidP="007C2B43">
      <w:pPr>
        <w:pStyle w:val="Bodytext21"/>
        <w:numPr>
          <w:ilvl w:val="0"/>
          <w:numId w:val="12"/>
        </w:numPr>
        <w:shd w:val="clear" w:color="auto" w:fill="auto"/>
        <w:tabs>
          <w:tab w:val="left" w:pos="1302"/>
        </w:tabs>
        <w:spacing w:before="0" w:after="0" w:line="240" w:lineRule="auto"/>
        <w:ind w:left="780" w:firstLine="0"/>
      </w:pPr>
      <w:r>
        <w:t>the achievement of results measured by reference to the previously set milestones or through performance indicators;</w:t>
      </w:r>
    </w:p>
    <w:p w:rsidR="000B5BFC" w:rsidRDefault="00764274" w:rsidP="007C2B43">
      <w:pPr>
        <w:pStyle w:val="Bodytext21"/>
        <w:numPr>
          <w:ilvl w:val="0"/>
          <w:numId w:val="8"/>
        </w:numPr>
        <w:shd w:val="clear" w:color="auto" w:fill="auto"/>
        <w:tabs>
          <w:tab w:val="left" w:pos="790"/>
        </w:tabs>
        <w:spacing w:before="0" w:after="0" w:line="240" w:lineRule="auto"/>
        <w:ind w:left="780" w:hanging="380"/>
      </w:pPr>
      <w:r w:rsidRPr="00740315">
        <w:t>actual costs incurred by the beneficiary(</w:t>
      </w:r>
      <w:proofErr w:type="spellStart"/>
      <w:r w:rsidRPr="00740315">
        <w:t>ies</w:t>
      </w:r>
      <w:proofErr w:type="spellEnd"/>
      <w:r w:rsidRPr="00740315">
        <w:t>) and affiliated entity(</w:t>
      </w:r>
      <w:proofErr w:type="spellStart"/>
      <w:r w:rsidRPr="00740315">
        <w:t>ies</w:t>
      </w:r>
      <w:proofErr w:type="spellEnd"/>
      <w:r w:rsidRPr="00740315">
        <w:t>);</w:t>
      </w:r>
    </w:p>
    <w:p w:rsidR="00740315" w:rsidRDefault="00740315" w:rsidP="007C2B43">
      <w:pPr>
        <w:pStyle w:val="Bodytext21"/>
        <w:numPr>
          <w:ilvl w:val="0"/>
          <w:numId w:val="8"/>
        </w:numPr>
        <w:shd w:val="clear" w:color="auto" w:fill="auto"/>
        <w:tabs>
          <w:tab w:val="left" w:pos="790"/>
        </w:tabs>
        <w:spacing w:before="0" w:after="0" w:line="240" w:lineRule="auto"/>
        <w:ind w:left="780" w:hanging="380"/>
      </w:pPr>
      <w:r w:rsidRPr="00740315">
        <w:t>one or more simplified cost options.</w:t>
      </w:r>
    </w:p>
    <w:p w:rsidR="00740315" w:rsidRPr="00740315" w:rsidRDefault="00740315" w:rsidP="007C2B43">
      <w:pPr>
        <w:pStyle w:val="Bodytext21"/>
        <w:shd w:val="clear" w:color="auto" w:fill="auto"/>
        <w:tabs>
          <w:tab w:val="left" w:pos="790"/>
        </w:tabs>
        <w:spacing w:before="0" w:after="0" w:line="240" w:lineRule="auto"/>
        <w:ind w:left="780" w:firstLine="0"/>
      </w:pPr>
    </w:p>
    <w:p w:rsidR="00781883" w:rsidRPr="00740315" w:rsidRDefault="00781883" w:rsidP="007C2B43">
      <w:pPr>
        <w:jc w:val="both"/>
        <w:rPr>
          <w:sz w:val="22"/>
          <w:szCs w:val="22"/>
        </w:rPr>
      </w:pPr>
      <w:r w:rsidRPr="00740315">
        <w:rPr>
          <w:sz w:val="22"/>
          <w:szCs w:val="22"/>
        </w:rPr>
        <w:t>Simplified cost options may take the form of:</w:t>
      </w:r>
    </w:p>
    <w:p w:rsidR="00740315" w:rsidRPr="00740315" w:rsidRDefault="00740315" w:rsidP="007C2B43">
      <w:pPr>
        <w:jc w:val="both"/>
        <w:rPr>
          <w:sz w:val="22"/>
          <w:szCs w:val="22"/>
        </w:rPr>
      </w:pPr>
    </w:p>
    <w:p w:rsidR="000B5BFC" w:rsidRPr="00740315" w:rsidRDefault="00764274" w:rsidP="007C2B43">
      <w:pPr>
        <w:jc w:val="both"/>
        <w:rPr>
          <w:sz w:val="22"/>
          <w:szCs w:val="22"/>
        </w:rPr>
      </w:pPr>
      <w:r w:rsidRPr="00740315">
        <w:rPr>
          <w:sz w:val="22"/>
          <w:szCs w:val="22"/>
        </w:rPr>
        <w:t xml:space="preserve">- </w:t>
      </w:r>
      <w:r w:rsidRPr="00740315">
        <w:rPr>
          <w:b/>
          <w:sz w:val="22"/>
          <w:szCs w:val="22"/>
        </w:rPr>
        <w:t>unit costs</w:t>
      </w:r>
      <w:r w:rsidRPr="00740315">
        <w:rPr>
          <w:sz w:val="22"/>
          <w:szCs w:val="22"/>
        </w:rPr>
        <w:t xml:space="preserve">: covering all or certain specific categories of eligible costs which are clearly identified in advance by reference to an </w:t>
      </w:r>
      <w:r w:rsidRPr="007C2B43">
        <w:rPr>
          <w:sz w:val="22"/>
          <w:szCs w:val="22"/>
          <w:u w:val="single"/>
        </w:rPr>
        <w:t>amount per unit</w:t>
      </w:r>
      <w:r w:rsidRPr="00740315">
        <w:rPr>
          <w:sz w:val="22"/>
          <w:szCs w:val="22"/>
        </w:rPr>
        <w:t>.</w:t>
      </w:r>
    </w:p>
    <w:p w:rsidR="00781883" w:rsidRPr="00740315" w:rsidRDefault="00781883" w:rsidP="007C2B43">
      <w:pPr>
        <w:jc w:val="both"/>
        <w:rPr>
          <w:sz w:val="22"/>
          <w:szCs w:val="22"/>
        </w:rPr>
      </w:pPr>
    </w:p>
    <w:p w:rsidR="00781883" w:rsidRPr="00740315" w:rsidRDefault="00740315" w:rsidP="007C2B43">
      <w:pPr>
        <w:jc w:val="both"/>
        <w:rPr>
          <w:sz w:val="22"/>
          <w:szCs w:val="22"/>
        </w:rPr>
      </w:pPr>
      <w:r w:rsidRPr="00740315">
        <w:rPr>
          <w:sz w:val="22"/>
          <w:szCs w:val="22"/>
        </w:rPr>
        <w:t xml:space="preserve">- </w:t>
      </w:r>
      <w:r w:rsidR="00781883" w:rsidRPr="00740315">
        <w:rPr>
          <w:b/>
          <w:sz w:val="22"/>
          <w:szCs w:val="22"/>
        </w:rPr>
        <w:t>lump sums</w:t>
      </w:r>
      <w:r w:rsidR="00781883" w:rsidRPr="00740315">
        <w:rPr>
          <w:sz w:val="22"/>
          <w:szCs w:val="22"/>
        </w:rPr>
        <w:t xml:space="preserve">: covering in </w:t>
      </w:r>
      <w:r w:rsidR="00781883" w:rsidRPr="007C2B43">
        <w:rPr>
          <w:sz w:val="22"/>
          <w:szCs w:val="22"/>
          <w:u w:val="single"/>
        </w:rPr>
        <w:t>global terms</w:t>
      </w:r>
      <w:r w:rsidR="00781883" w:rsidRPr="00740315">
        <w:rPr>
          <w:sz w:val="22"/>
          <w:szCs w:val="22"/>
        </w:rPr>
        <w:t xml:space="preserve"> all or certain specific categories of eligible costs which are clearly identified in advance.</w:t>
      </w:r>
    </w:p>
    <w:p w:rsidR="00740315" w:rsidRPr="00740315" w:rsidRDefault="00740315" w:rsidP="007C2B43">
      <w:pPr>
        <w:jc w:val="both"/>
        <w:rPr>
          <w:sz w:val="22"/>
          <w:szCs w:val="22"/>
        </w:rPr>
      </w:pPr>
    </w:p>
    <w:p w:rsidR="00781883" w:rsidRPr="00740315" w:rsidRDefault="00740315" w:rsidP="007C2B43">
      <w:pPr>
        <w:jc w:val="both"/>
        <w:rPr>
          <w:sz w:val="22"/>
          <w:szCs w:val="22"/>
        </w:rPr>
      </w:pPr>
      <w:r w:rsidRPr="00740315">
        <w:rPr>
          <w:sz w:val="22"/>
          <w:szCs w:val="22"/>
        </w:rPr>
        <w:t xml:space="preserve">- </w:t>
      </w:r>
      <w:r w:rsidR="00781883" w:rsidRPr="00740315">
        <w:rPr>
          <w:b/>
          <w:sz w:val="22"/>
          <w:szCs w:val="22"/>
        </w:rPr>
        <w:t>flat-rate financing:</w:t>
      </w:r>
      <w:r w:rsidR="00781883" w:rsidRPr="00740315">
        <w:rPr>
          <w:sz w:val="22"/>
          <w:szCs w:val="22"/>
        </w:rPr>
        <w:t xml:space="preserve"> covering specific categories of eligible costs which are clearly identified in advance by </w:t>
      </w:r>
      <w:r w:rsidR="00781883" w:rsidRPr="007C2B43">
        <w:rPr>
          <w:sz w:val="22"/>
          <w:szCs w:val="22"/>
          <w:u w:val="single"/>
        </w:rPr>
        <w:t>applying a percentage</w:t>
      </w:r>
      <w:r w:rsidR="00781883" w:rsidRPr="00740315">
        <w:rPr>
          <w:sz w:val="22"/>
          <w:szCs w:val="22"/>
        </w:rPr>
        <w:t xml:space="preserve"> fixed ex ante.</w:t>
      </w:r>
    </w:p>
    <w:p w:rsidR="00740315" w:rsidRPr="00740315" w:rsidRDefault="00740315" w:rsidP="007C2B43">
      <w:pPr>
        <w:jc w:val="both"/>
        <w:rPr>
          <w:sz w:val="22"/>
          <w:szCs w:val="22"/>
        </w:rPr>
      </w:pPr>
    </w:p>
    <w:p w:rsidR="00740315" w:rsidRPr="00740315" w:rsidRDefault="00740315" w:rsidP="007C2B43">
      <w:pPr>
        <w:jc w:val="both"/>
        <w:rPr>
          <w:sz w:val="22"/>
          <w:szCs w:val="22"/>
        </w:rPr>
      </w:pPr>
      <w:r w:rsidRPr="00740315">
        <w:rPr>
          <w:sz w:val="22"/>
          <w:szCs w:val="22"/>
        </w:rPr>
        <w:t xml:space="preserve">Simplified costs options (SCOs) are divided in two categories: </w:t>
      </w:r>
    </w:p>
    <w:p w:rsidR="00740315" w:rsidRPr="00740315" w:rsidRDefault="00740315" w:rsidP="007C2B43">
      <w:pPr>
        <w:jc w:val="both"/>
        <w:rPr>
          <w:sz w:val="22"/>
          <w:szCs w:val="22"/>
        </w:rPr>
      </w:pPr>
    </w:p>
    <w:p w:rsidR="00740315" w:rsidRDefault="00740315" w:rsidP="007C2B43">
      <w:pPr>
        <w:jc w:val="both"/>
        <w:rPr>
          <w:sz w:val="22"/>
          <w:szCs w:val="22"/>
        </w:rPr>
      </w:pPr>
      <w:r w:rsidRPr="00740315">
        <w:rPr>
          <w:sz w:val="22"/>
          <w:szCs w:val="22"/>
        </w:rPr>
        <w:t>1/ "output or result based SCOs": this category includes costs linked to outputs, results, activities, deliverables in the framework of a specific project (for example the determination of a lump sum for the organization of a conference, or for the realisation of a determined output/activity). Where possible and appropriate, lump sums, unit costs or flat rates shall be determined in such a way to allow their payment upon achievement of concrete outputs and/or results. This type of SCO can be proposed by the Beneficiary (no threshold is applicable) at proposal's stage. In case the evaluation committee and the contracting authority are not satisfied with the quality of the justification provided reimbursement on the basis of actually incurred costs is always possible.</w:t>
      </w:r>
    </w:p>
    <w:p w:rsidR="00C70FC8" w:rsidRPr="00740315" w:rsidRDefault="00C70FC8" w:rsidP="007C2B43">
      <w:pPr>
        <w:jc w:val="both"/>
        <w:rPr>
          <w:sz w:val="22"/>
          <w:szCs w:val="22"/>
        </w:rPr>
      </w:pPr>
    </w:p>
    <w:p w:rsidR="00740315" w:rsidRDefault="00740315" w:rsidP="007C2B43">
      <w:pPr>
        <w:jc w:val="both"/>
        <w:rPr>
          <w:sz w:val="22"/>
          <w:szCs w:val="22"/>
        </w:rPr>
      </w:pPr>
      <w:r w:rsidRPr="00740315">
        <w:rPr>
          <w:sz w:val="22"/>
          <w:szCs w:val="22"/>
        </w:rPr>
        <w:t>2/ "other/recurrent SCOs". This second category entails simplified cost options embedded in the accounting practices of the beneficiary, for which an ex-ante assessment is deemed necessary, considering the need of a consistent application of the conditions required. Examples are: an additional percentage on actual salaries to cover remuneration-related costs or the use of an allocation method to apportion costs of a project office foreseen in the Description of the Action. In order t</w:t>
      </w:r>
      <w:r w:rsidR="00AD52D9">
        <w:rPr>
          <w:sz w:val="22"/>
          <w:szCs w:val="22"/>
        </w:rPr>
        <w:t xml:space="preserve">o </w:t>
      </w:r>
      <w:r w:rsidRPr="00740315">
        <w:rPr>
          <w:sz w:val="22"/>
          <w:szCs w:val="22"/>
        </w:rPr>
        <w:t xml:space="preserve">use systemic/recurrent SCOs, the beneficiary's accounting practices need to have been positively assessed by an audit firm based on standard </w:t>
      </w:r>
      <w:proofErr w:type="spellStart"/>
      <w:r w:rsidRPr="00740315">
        <w:rPr>
          <w:sz w:val="22"/>
          <w:szCs w:val="22"/>
        </w:rPr>
        <w:t>ToRs</w:t>
      </w:r>
      <w:proofErr w:type="spellEnd"/>
      <w:r w:rsidRPr="00740315">
        <w:rPr>
          <w:sz w:val="22"/>
          <w:szCs w:val="22"/>
        </w:rPr>
        <w:t xml:space="preserve"> provided by the Commission. To obtain reimbursement of this category of SCOs, the beneficiary shall make reference to the previously obtained ex-ante assessment in the budget justification sheet (annex e3c).</w:t>
      </w:r>
    </w:p>
    <w:p w:rsidR="009763AA" w:rsidRDefault="009763AA" w:rsidP="007C2B43">
      <w:pPr>
        <w:jc w:val="both"/>
        <w:rPr>
          <w:sz w:val="22"/>
          <w:szCs w:val="22"/>
        </w:rPr>
      </w:pPr>
    </w:p>
    <w:p w:rsidR="000B5BFC" w:rsidRDefault="00740315" w:rsidP="007C2B43">
      <w:pPr>
        <w:pStyle w:val="Footnote1"/>
        <w:shd w:val="clear" w:color="auto" w:fill="auto"/>
        <w:spacing w:after="0" w:line="240" w:lineRule="auto"/>
        <w:ind w:firstLine="0"/>
      </w:pPr>
      <w:r w:rsidRPr="00C70FC8">
        <w:t>The amounts or rates have to be based on estimates using objective data such as statistical data or any other objective means or with reference to certified or auditable historical data of the applicants or the affiliated entity(</w:t>
      </w:r>
      <w:proofErr w:type="spellStart"/>
      <w:r w:rsidRPr="00C70FC8">
        <w:t>ies</w:t>
      </w:r>
      <w:proofErr w:type="spellEnd"/>
      <w:r w:rsidRPr="00C70FC8">
        <w:t>). Determining SCO is possible also through ‘expert judgement’ provided by internally available experts or procured in accordance with the applicable rules. Experts must be either commissioned auditors or chartered accountants, or staff of the Commission but cannot be staff of the beneficiary. The methods used to</w:t>
      </w:r>
      <w:r w:rsidR="00C943F2">
        <w:t xml:space="preserve"> </w:t>
      </w:r>
      <w:r w:rsidR="00764274" w:rsidRPr="00C70FC8">
        <w:t>determine the amounts or rates of unit costs, lump sums or flat-rates must comply with the criteria established in Annex K, and especially ensure that the costs correspond fairly to the actual costs incurred by the beneficiary(</w:t>
      </w:r>
      <w:proofErr w:type="spellStart"/>
      <w:r w:rsidR="00764274" w:rsidRPr="00C70FC8">
        <w:t>ies</w:t>
      </w:r>
      <w:proofErr w:type="spellEnd"/>
      <w:r w:rsidR="00764274" w:rsidRPr="00C70FC8">
        <w:t>) and affiliated entity(</w:t>
      </w:r>
      <w:proofErr w:type="spellStart"/>
      <w:r w:rsidR="00764274" w:rsidRPr="00C70FC8">
        <w:t>ies</w:t>
      </w:r>
      <w:proofErr w:type="spellEnd"/>
      <w:r w:rsidR="00764274" w:rsidRPr="00C70FC8">
        <w:t>), are in line with their accounting practices, no profit is made and the costs are not already covered by other sources of funding (no double funding). Refer to Annex K for the details of the procedure to be followed depending on the type and amount of the costs to be declared as SCO.</w:t>
      </w:r>
    </w:p>
    <w:p w:rsidR="00C70FC8" w:rsidRPr="00C70FC8" w:rsidRDefault="00C70FC8" w:rsidP="007C2B43">
      <w:pPr>
        <w:jc w:val="both"/>
        <w:rPr>
          <w:sz w:val="22"/>
          <w:szCs w:val="22"/>
        </w:rPr>
      </w:pPr>
    </w:p>
    <w:p w:rsidR="000B5BFC" w:rsidRDefault="00764274" w:rsidP="007C2B43">
      <w:pPr>
        <w:jc w:val="both"/>
        <w:rPr>
          <w:sz w:val="22"/>
          <w:szCs w:val="22"/>
        </w:rPr>
      </w:pPr>
      <w:r w:rsidRPr="00C70FC8">
        <w:rPr>
          <w:sz w:val="22"/>
          <w:szCs w:val="22"/>
        </w:rPr>
        <w:lastRenderedPageBreak/>
        <w:t>Applicants proposing this form of reimbursement, must clearly indicate in worksheet no.1 of Annex B, each heading/item of eligible costs concerned by this type of financing, i.e. add the reference in capital letters to ‘UNIT COST’ (per month/flight etc.), ‘LUMPSUM’, ‘FLAT RATE’ in the Unit column (see example in Annex K).</w:t>
      </w:r>
    </w:p>
    <w:p w:rsidR="003913CE" w:rsidRPr="00C70FC8" w:rsidRDefault="003913CE" w:rsidP="007C2B43">
      <w:pPr>
        <w:jc w:val="both"/>
        <w:rPr>
          <w:sz w:val="22"/>
          <w:szCs w:val="22"/>
        </w:rPr>
      </w:pPr>
    </w:p>
    <w:p w:rsidR="000B5BFC" w:rsidRPr="00C70FC8" w:rsidRDefault="005E1DBC" w:rsidP="007C2B43">
      <w:pPr>
        <w:pStyle w:val="Bodytext21"/>
        <w:shd w:val="clear" w:color="auto" w:fill="auto"/>
        <w:spacing w:before="0" w:after="0" w:line="240" w:lineRule="auto"/>
        <w:ind w:firstLine="0"/>
      </w:pPr>
      <w:r w:rsidRPr="00C70FC8">
        <w:t>Additionally,</w:t>
      </w:r>
      <w:r w:rsidR="00764274" w:rsidRPr="00C70FC8">
        <w:t xml:space="preserve"> in Annex B, in the second column of worksheet no.2, ‘Justification of the estimated costs’ per each of the corresponding budget item or heading applicants must:</w:t>
      </w:r>
    </w:p>
    <w:p w:rsidR="00C70FC8" w:rsidRPr="00C70FC8" w:rsidRDefault="00C70FC8" w:rsidP="007C2B43">
      <w:pPr>
        <w:ind w:left="720"/>
        <w:jc w:val="both"/>
        <w:rPr>
          <w:sz w:val="22"/>
          <w:szCs w:val="22"/>
        </w:rPr>
      </w:pPr>
      <w:r w:rsidRPr="00C70FC8">
        <w:rPr>
          <w:sz w:val="22"/>
          <w:szCs w:val="22"/>
        </w:rPr>
        <w:t xml:space="preserve">- </w:t>
      </w:r>
      <w:r w:rsidR="00764274" w:rsidRPr="00C70FC8">
        <w:rPr>
          <w:sz w:val="22"/>
          <w:szCs w:val="22"/>
        </w:rPr>
        <w:t>describe the information and methods used to establish the amounts of unit costs, lump sums and/or flat-rates, to which costs they refer, etc for output or result based SCO</w:t>
      </w:r>
      <w:r w:rsidR="00AD52D9">
        <w:rPr>
          <w:sz w:val="22"/>
          <w:szCs w:val="22"/>
        </w:rPr>
        <w:t>;</w:t>
      </w:r>
    </w:p>
    <w:p w:rsidR="000B5BFC" w:rsidRPr="00C70FC8" w:rsidRDefault="00C70FC8" w:rsidP="007C2B43">
      <w:pPr>
        <w:ind w:firstLine="720"/>
        <w:jc w:val="both"/>
        <w:rPr>
          <w:sz w:val="22"/>
          <w:szCs w:val="22"/>
        </w:rPr>
      </w:pPr>
      <w:r w:rsidRPr="00C70FC8">
        <w:rPr>
          <w:sz w:val="22"/>
          <w:szCs w:val="22"/>
        </w:rPr>
        <w:t xml:space="preserve">- </w:t>
      </w:r>
      <w:r w:rsidR="00764274" w:rsidRPr="00C70FC8">
        <w:rPr>
          <w:sz w:val="22"/>
          <w:szCs w:val="22"/>
        </w:rPr>
        <w:t>clearly explain the formulas for calculation of the final eligible amount for output or result based</w:t>
      </w:r>
    </w:p>
    <w:p w:rsidR="000B5BFC" w:rsidRPr="00C70FC8" w:rsidRDefault="00764274" w:rsidP="007C2B43">
      <w:pPr>
        <w:ind w:firstLine="720"/>
        <w:jc w:val="both"/>
        <w:rPr>
          <w:sz w:val="22"/>
          <w:szCs w:val="22"/>
        </w:rPr>
      </w:pPr>
      <w:r w:rsidRPr="00C70FC8">
        <w:rPr>
          <w:sz w:val="22"/>
          <w:szCs w:val="22"/>
        </w:rPr>
        <w:t>SCO</w:t>
      </w:r>
      <w:r w:rsidRPr="004D730B">
        <w:rPr>
          <w:sz w:val="18"/>
          <w:szCs w:val="18"/>
          <w:vertAlign w:val="superscript"/>
        </w:rPr>
        <w:footnoteReference w:id="13"/>
      </w:r>
      <w:r w:rsidR="00C70FC8" w:rsidRPr="00C70FC8">
        <w:rPr>
          <w:sz w:val="22"/>
          <w:szCs w:val="22"/>
        </w:rPr>
        <w:t>.</w:t>
      </w:r>
    </w:p>
    <w:p w:rsidR="00C70FC8" w:rsidRPr="00C70FC8" w:rsidRDefault="00C70FC8" w:rsidP="007C2B43">
      <w:pPr>
        <w:ind w:firstLine="720"/>
        <w:jc w:val="both"/>
        <w:rPr>
          <w:sz w:val="22"/>
          <w:szCs w:val="22"/>
        </w:rPr>
      </w:pPr>
      <w:r w:rsidRPr="00C70FC8">
        <w:rPr>
          <w:sz w:val="22"/>
          <w:szCs w:val="22"/>
        </w:rPr>
        <w:t>- make reference to the previously obtained ex-ante assessment for other/recurrent SCOs</w:t>
      </w:r>
      <w:r w:rsidR="003913CE">
        <w:rPr>
          <w:sz w:val="22"/>
          <w:szCs w:val="22"/>
        </w:rPr>
        <w:t>.</w:t>
      </w:r>
    </w:p>
    <w:p w:rsidR="000B5BFC" w:rsidRPr="00C70FC8" w:rsidRDefault="000B5BFC" w:rsidP="007C2B43">
      <w:pPr>
        <w:jc w:val="both"/>
      </w:pPr>
    </w:p>
    <w:p w:rsidR="000B5BFC" w:rsidRDefault="00764274" w:rsidP="007C2B43">
      <w:pPr>
        <w:pStyle w:val="Bodytext21"/>
        <w:shd w:val="clear" w:color="auto" w:fill="auto"/>
        <w:spacing w:before="0" w:after="0" w:line="240" w:lineRule="auto"/>
        <w:ind w:firstLine="0"/>
      </w:pPr>
      <w:r w:rsidRPr="003913CE">
        <w:t>In case of output or result based SCOs the evaluation committee and the contracting authority decide whether to accept the proposed amounts or rates on the basis of the provisional budget submitted by the applicants, by analysing factual data of grants carried out by the applicants or of similar actions. In case the evaluation committee and the contracting authority are not satisfied with the quality of the justification provided reimbursement on the basis of actually incurred costs is always possible.</w:t>
      </w:r>
    </w:p>
    <w:p w:rsidR="00C943F2" w:rsidRPr="003913CE" w:rsidRDefault="00C943F2"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rsidRPr="003913CE">
        <w:t>No threshold is set ex-ante for the total amount of financing that can be authorised by the contracting authority on the basis of simplified cost options. Other/recurrent SCOs can be declared only if previously successfully ex-ante assessed.</w:t>
      </w:r>
    </w:p>
    <w:p w:rsidR="009763AA" w:rsidRDefault="009763AA"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rsidRPr="003913CE">
        <w:t xml:space="preserve">Recommendations to award a grant are always subject to the condition that the checks preceding the signing of the grant contract do not reveal problems requiring changes to the budget (such as arithmetical errors, inaccuracies, unrealistic costs and ineligible costs). The checks may give rise to requests for clarification and may lead the contracting authority to impose modifications or reductions to address such mistakes or inaccuracies. It is not possible to increase the grant or the percentage of </w:t>
      </w:r>
      <w:r w:rsidRPr="007869AD">
        <w:rPr>
          <w:lang w:eastAsia="fr-FR" w:bidi="fr-FR"/>
        </w:rPr>
        <w:t xml:space="preserve">EU </w:t>
      </w:r>
      <w:r w:rsidRPr="003913CE">
        <w:t>co-financing as a result of these corrections.</w:t>
      </w:r>
    </w:p>
    <w:p w:rsidR="00C943F2" w:rsidRPr="003913CE" w:rsidRDefault="00C943F2" w:rsidP="007C2B43">
      <w:pPr>
        <w:pStyle w:val="Bodytext21"/>
        <w:shd w:val="clear" w:color="auto" w:fill="auto"/>
        <w:spacing w:before="0" w:after="0" w:line="240" w:lineRule="auto"/>
        <w:ind w:firstLine="0"/>
      </w:pPr>
    </w:p>
    <w:p w:rsidR="000B5BFC" w:rsidRPr="006D3308" w:rsidRDefault="00764274" w:rsidP="007C2B43">
      <w:pPr>
        <w:rPr>
          <w:sz w:val="22"/>
          <w:szCs w:val="22"/>
        </w:rPr>
      </w:pPr>
      <w:r w:rsidRPr="006D3308">
        <w:rPr>
          <w:sz w:val="22"/>
          <w:szCs w:val="22"/>
        </w:rPr>
        <w:t xml:space="preserve">It is therefore in the applicants' interest to provide a </w:t>
      </w:r>
      <w:r w:rsidRPr="006D3308">
        <w:rPr>
          <w:b/>
          <w:sz w:val="22"/>
          <w:szCs w:val="22"/>
        </w:rPr>
        <w:t>realistic and cost-effective budget</w:t>
      </w:r>
      <w:r w:rsidR="006D3308">
        <w:rPr>
          <w:sz w:val="22"/>
          <w:szCs w:val="22"/>
        </w:rPr>
        <w:t>.</w:t>
      </w:r>
    </w:p>
    <w:p w:rsidR="006D3308" w:rsidRDefault="006D3308" w:rsidP="009763AA">
      <w:pPr>
        <w:rPr>
          <w:sz w:val="22"/>
          <w:szCs w:val="22"/>
        </w:rPr>
      </w:pPr>
    </w:p>
    <w:tbl>
      <w:tblPr>
        <w:tblStyle w:val="TableGrid"/>
        <w:tblW w:w="0" w:type="auto"/>
        <w:tblLook w:val="04A0" w:firstRow="1" w:lastRow="0" w:firstColumn="1" w:lastColumn="0" w:noHBand="0" w:noVBand="1"/>
      </w:tblPr>
      <w:tblGrid>
        <w:gridCol w:w="9811"/>
      </w:tblGrid>
      <w:tr w:rsidR="006D3308" w:rsidTr="006D3308">
        <w:tc>
          <w:tcPr>
            <w:tcW w:w="9811" w:type="dxa"/>
          </w:tcPr>
          <w:p w:rsidR="006D3308" w:rsidRDefault="006D3308" w:rsidP="009763AA">
            <w:pPr>
              <w:jc w:val="both"/>
              <w:rPr>
                <w:sz w:val="22"/>
                <w:szCs w:val="22"/>
              </w:rPr>
            </w:pPr>
            <w:r w:rsidRPr="006D3308">
              <w:rPr>
                <w:sz w:val="22"/>
                <w:szCs w:val="22"/>
              </w:rPr>
              <w:t>The grant may take the form of a single lump-sum covering the entire eligible costs of an action or a work programme.</w:t>
            </w:r>
          </w:p>
          <w:p w:rsidR="006D3308" w:rsidRDefault="006D3308" w:rsidP="00480E34">
            <w:pPr>
              <w:jc w:val="both"/>
              <w:rPr>
                <w:sz w:val="22"/>
                <w:szCs w:val="22"/>
              </w:rPr>
            </w:pPr>
          </w:p>
          <w:p w:rsidR="006D3308" w:rsidRDefault="006D3308" w:rsidP="00480E34">
            <w:pPr>
              <w:jc w:val="both"/>
              <w:rPr>
                <w:sz w:val="22"/>
                <w:szCs w:val="22"/>
              </w:rPr>
            </w:pPr>
            <w:r w:rsidRPr="006D3308">
              <w:rPr>
                <w:sz w:val="22"/>
                <w:szCs w:val="22"/>
              </w:rPr>
              <w:t>Single lump sums may be determined on the basis of the estimated budget, which should comply with the principles of economy, efficiency and effectiveness. Compliance with these principles shall be verified ex ante at the time of evaluation of the grant application.</w:t>
            </w:r>
          </w:p>
          <w:p w:rsidR="006D3308" w:rsidRDefault="006D3308">
            <w:pPr>
              <w:jc w:val="both"/>
              <w:rPr>
                <w:sz w:val="22"/>
                <w:szCs w:val="22"/>
              </w:rPr>
            </w:pPr>
          </w:p>
          <w:p w:rsidR="006D3308" w:rsidRDefault="006D3308">
            <w:pPr>
              <w:jc w:val="both"/>
              <w:rPr>
                <w:sz w:val="22"/>
                <w:szCs w:val="22"/>
              </w:rPr>
            </w:pPr>
            <w:r w:rsidRPr="006D3308">
              <w:rPr>
                <w:sz w:val="22"/>
                <w:szCs w:val="22"/>
              </w:rPr>
              <w:t>When authorising single lump sums the authorising officer responsible shall comply with the conditions applicable to output or result based SCOs.</w:t>
            </w:r>
          </w:p>
          <w:p w:rsidR="006D3308" w:rsidRPr="006D3308" w:rsidRDefault="006D3308">
            <w:pPr>
              <w:jc w:val="both"/>
              <w:rPr>
                <w:sz w:val="22"/>
                <w:szCs w:val="22"/>
              </w:rPr>
            </w:pPr>
          </w:p>
          <w:p w:rsidR="006D3308" w:rsidRDefault="006D3308">
            <w:pPr>
              <w:jc w:val="both"/>
              <w:rPr>
                <w:sz w:val="22"/>
                <w:szCs w:val="22"/>
              </w:rPr>
            </w:pPr>
            <w:r w:rsidRPr="006D3308">
              <w:rPr>
                <w:sz w:val="22"/>
                <w:szCs w:val="22"/>
              </w:rPr>
              <w:t>When using this form of financing, the description of the action shall include detailed information on the essential conditions triggering the payment, including, where applicable, the achievement of outputs and/or results.</w:t>
            </w:r>
          </w:p>
        </w:tc>
      </w:tr>
    </w:tbl>
    <w:p w:rsidR="006D3308" w:rsidRDefault="006D3308" w:rsidP="007C2B43">
      <w:pPr>
        <w:jc w:val="both"/>
        <w:rPr>
          <w:sz w:val="22"/>
          <w:szCs w:val="22"/>
        </w:rPr>
      </w:pPr>
    </w:p>
    <w:p w:rsidR="00E01F24" w:rsidRDefault="00E01F24" w:rsidP="007C2B43">
      <w:pPr>
        <w:jc w:val="both"/>
        <w:rPr>
          <w:sz w:val="22"/>
          <w:szCs w:val="22"/>
          <w:u w:val="single"/>
        </w:rPr>
      </w:pPr>
    </w:p>
    <w:p w:rsidR="000B5BFC" w:rsidRDefault="00764274" w:rsidP="007C2B43">
      <w:pPr>
        <w:jc w:val="both"/>
        <w:rPr>
          <w:sz w:val="22"/>
          <w:szCs w:val="22"/>
          <w:u w:val="single"/>
        </w:rPr>
      </w:pPr>
      <w:r w:rsidRPr="004D730B">
        <w:rPr>
          <w:sz w:val="22"/>
          <w:szCs w:val="22"/>
          <w:u w:val="single"/>
        </w:rPr>
        <w:t>The responsible authorising officer may consider that the usual cost accounting practices of the beneficiary</w:t>
      </w:r>
      <w:r w:rsidR="00D31555">
        <w:rPr>
          <w:sz w:val="22"/>
          <w:szCs w:val="22"/>
          <w:u w:val="single"/>
        </w:rPr>
        <w:t xml:space="preserve"> </w:t>
      </w:r>
      <w:r w:rsidRPr="004D730B">
        <w:rPr>
          <w:sz w:val="22"/>
          <w:szCs w:val="22"/>
          <w:u w:val="single"/>
        </w:rPr>
        <w:t>are compliant with the conditions applicable to simplified cost options, if they are accepted by national</w:t>
      </w:r>
      <w:r w:rsidR="00D31555">
        <w:rPr>
          <w:sz w:val="22"/>
          <w:szCs w:val="22"/>
          <w:u w:val="single"/>
        </w:rPr>
        <w:t xml:space="preserve"> </w:t>
      </w:r>
      <w:r w:rsidRPr="004D730B">
        <w:rPr>
          <w:sz w:val="22"/>
          <w:szCs w:val="22"/>
          <w:u w:val="single"/>
        </w:rPr>
        <w:t>authorities under comparable funding schemes. In this case the grant beneficiary shall demonstrate that the</w:t>
      </w:r>
      <w:r w:rsidR="00D31555">
        <w:rPr>
          <w:sz w:val="22"/>
          <w:szCs w:val="22"/>
          <w:u w:val="single"/>
        </w:rPr>
        <w:t xml:space="preserve"> </w:t>
      </w:r>
      <w:r w:rsidRPr="004D730B">
        <w:rPr>
          <w:sz w:val="22"/>
          <w:szCs w:val="22"/>
          <w:u w:val="single"/>
        </w:rPr>
        <w:lastRenderedPageBreak/>
        <w:t>national authority accepted the cost accounting practices and will have to specify in which context this</w:t>
      </w:r>
      <w:r w:rsidR="00D31555">
        <w:rPr>
          <w:sz w:val="22"/>
          <w:szCs w:val="22"/>
          <w:u w:val="single"/>
        </w:rPr>
        <w:t xml:space="preserve"> </w:t>
      </w:r>
      <w:r w:rsidRPr="004D730B">
        <w:rPr>
          <w:sz w:val="22"/>
          <w:szCs w:val="22"/>
          <w:u w:val="single"/>
        </w:rPr>
        <w:t>acceptance is given.</w:t>
      </w:r>
    </w:p>
    <w:p w:rsidR="00E01F24" w:rsidRDefault="00E01F24" w:rsidP="007C2B43">
      <w:pPr>
        <w:jc w:val="both"/>
        <w:rPr>
          <w:sz w:val="22"/>
          <w:szCs w:val="22"/>
          <w:u w:val="single"/>
        </w:rPr>
      </w:pPr>
    </w:p>
    <w:p w:rsidR="000B5BFC" w:rsidRPr="004D730B" w:rsidRDefault="00764274" w:rsidP="007C2B43">
      <w:pPr>
        <w:jc w:val="both"/>
        <w:rPr>
          <w:rStyle w:val="Bodytext26"/>
          <w:color w:val="FF0000"/>
        </w:rPr>
      </w:pPr>
      <w:r w:rsidRPr="004D730B">
        <w:rPr>
          <w:sz w:val="22"/>
          <w:szCs w:val="22"/>
          <w:u w:val="single"/>
        </w:rPr>
        <w:t>The evaluation committee and the contracting authority will assess if the funding scheme is comparable and</w:t>
      </w:r>
      <w:r w:rsidR="00D31555">
        <w:rPr>
          <w:sz w:val="22"/>
          <w:szCs w:val="22"/>
          <w:u w:val="single"/>
        </w:rPr>
        <w:t xml:space="preserve"> </w:t>
      </w:r>
      <w:r w:rsidRPr="004D730B">
        <w:rPr>
          <w:sz w:val="22"/>
          <w:szCs w:val="22"/>
          <w:u w:val="single"/>
        </w:rPr>
        <w:t>in case of positive outcome will consider these practices as if they were ex-ante assessed by an external</w:t>
      </w:r>
      <w:r w:rsidRPr="004D730B">
        <w:rPr>
          <w:rStyle w:val="Bodytext26"/>
        </w:rPr>
        <w:t>auditor</w:t>
      </w:r>
      <w:r w:rsidR="00EE719A" w:rsidRPr="004D730B">
        <w:rPr>
          <w:rStyle w:val="Bodytext26"/>
        </w:rPr>
        <w:t xml:space="preserve">. </w:t>
      </w:r>
    </w:p>
    <w:p w:rsidR="009763AA" w:rsidRDefault="009763AA" w:rsidP="007C2B43">
      <w:pPr>
        <w:pStyle w:val="Bodytext21"/>
        <w:shd w:val="clear" w:color="auto" w:fill="auto"/>
        <w:spacing w:before="0" w:after="0" w:line="240" w:lineRule="auto"/>
        <w:ind w:firstLine="0"/>
        <w:rPr>
          <w:rStyle w:val="Bodytext26"/>
        </w:rPr>
      </w:pPr>
    </w:p>
    <w:p w:rsidR="000B5BFC" w:rsidRDefault="00764274" w:rsidP="007C2B43">
      <w:pPr>
        <w:pStyle w:val="Bodytext21"/>
        <w:shd w:val="clear" w:color="auto" w:fill="auto"/>
        <w:spacing w:before="0" w:after="0" w:line="240" w:lineRule="auto"/>
        <w:ind w:firstLine="0"/>
      </w:pPr>
      <w:r w:rsidRPr="005A7AC0">
        <w:rPr>
          <w:rStyle w:val="Bodytext26"/>
        </w:rPr>
        <w:t>Eligible direct costs</w:t>
      </w:r>
    </w:p>
    <w:p w:rsidR="00A43902" w:rsidRDefault="00A43902"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 xml:space="preserve">To be eligible under this call for proposals, costs must comply with the provisions of Article 14 of the general conditions to the standard grant contract (see Annex </w:t>
      </w:r>
      <w:r w:rsidRPr="007869AD">
        <w:rPr>
          <w:lang w:eastAsia="fr-FR" w:bidi="fr-FR"/>
        </w:rPr>
        <w:t xml:space="preserve">G </w:t>
      </w:r>
      <w:r>
        <w:t>of the guidelines).</w:t>
      </w:r>
    </w:p>
    <w:p w:rsidR="00A43902" w:rsidRDefault="00A43902"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rPr>
          <w:rStyle w:val="Bodytext26"/>
        </w:rPr>
        <w:t>Contingency reserve</w:t>
      </w:r>
    </w:p>
    <w:p w:rsidR="000B5BFC" w:rsidRDefault="00764274" w:rsidP="007C2B43">
      <w:pPr>
        <w:pStyle w:val="Bodytext21"/>
        <w:shd w:val="clear" w:color="auto" w:fill="auto"/>
        <w:spacing w:before="0" w:after="0" w:line="240" w:lineRule="auto"/>
        <w:ind w:firstLine="0"/>
      </w:pPr>
      <w:r>
        <w:t xml:space="preserve">The budget may include a contingency reserve not exceeding 5% of the estimated direct eligible costs. It can only be used with the </w:t>
      </w:r>
      <w:r>
        <w:rPr>
          <w:rStyle w:val="Bodytext2Bold2"/>
        </w:rPr>
        <w:t xml:space="preserve">prior written </w:t>
      </w:r>
      <w:r w:rsidR="00D31555">
        <w:rPr>
          <w:rStyle w:val="Bodytext2Bold2"/>
        </w:rPr>
        <w:t xml:space="preserve">authorization </w:t>
      </w:r>
      <w:r>
        <w:t>of the contracting authority.</w:t>
      </w:r>
    </w:p>
    <w:p w:rsidR="00A43902" w:rsidRDefault="00A43902"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rPr>
          <w:rStyle w:val="Bodytext26"/>
        </w:rPr>
        <w:t>Eligible indirect costs</w:t>
      </w:r>
    </w:p>
    <w:p w:rsidR="000B5BFC" w:rsidRDefault="00764274" w:rsidP="007C2B43">
      <w:pPr>
        <w:pStyle w:val="Bodytext21"/>
        <w:shd w:val="clear" w:color="auto" w:fill="auto"/>
        <w:spacing w:before="0" w:after="0" w:line="240" w:lineRule="auto"/>
        <w:ind w:firstLine="0"/>
      </w:pPr>
      <w:r>
        <w:t xml:space="preserve">The indirect costs incurred in carrying out the action may be eligible </w:t>
      </w:r>
      <w:r w:rsidRPr="007869AD">
        <w:rPr>
          <w:lang w:eastAsia="da-DK" w:bidi="da-DK"/>
        </w:rPr>
        <w:t xml:space="preserve">for </w:t>
      </w:r>
      <w:r>
        <w:t xml:space="preserve">flat-rate funding, but the total must not exceed 7% of the estimated total eligible direct costs. Indirect costs are eligible provided that they do not include costs assigned to another budget heading in the standard </w:t>
      </w:r>
      <w:r>
        <w:rPr>
          <w:lang w:val="cs-CZ" w:eastAsia="cs-CZ" w:bidi="cs-CZ"/>
        </w:rPr>
        <w:t xml:space="preserve">grant </w:t>
      </w:r>
      <w:r>
        <w:t>contract. The lead applicant may be asked to justify the percentage requested before the grant contract is signed. However, once the flat rate has been fixed in the special conditions of the grant contract, no supporting documents need to be provided.</w:t>
      </w:r>
    </w:p>
    <w:p w:rsidR="000B5BFC" w:rsidRDefault="00764274" w:rsidP="007C2B43">
      <w:pPr>
        <w:pStyle w:val="Bodytext21"/>
        <w:shd w:val="clear" w:color="auto" w:fill="auto"/>
        <w:spacing w:before="0" w:after="0" w:line="240" w:lineRule="auto"/>
        <w:ind w:firstLine="0"/>
      </w:pPr>
      <w:r>
        <w:t>If any of the applicants or affiliated entity(</w:t>
      </w:r>
      <w:proofErr w:type="spellStart"/>
      <w:r>
        <w:t>ies</w:t>
      </w:r>
      <w:proofErr w:type="spellEnd"/>
      <w:r>
        <w:t xml:space="preserve">) is in receipt of an operating grant financed by the </w:t>
      </w:r>
      <w:r w:rsidRPr="007869AD">
        <w:rPr>
          <w:lang w:eastAsia="fr-FR" w:bidi="fr-FR"/>
        </w:rPr>
        <w:t xml:space="preserve">EU, </w:t>
      </w:r>
      <w:r>
        <w:t>it may not claim indirect costs on its incurred costs within the proposed budget for the action.</w:t>
      </w:r>
    </w:p>
    <w:p w:rsidR="00A43902" w:rsidRDefault="00A43902" w:rsidP="007C2B43">
      <w:pPr>
        <w:pStyle w:val="Bodytext21"/>
        <w:shd w:val="clear" w:color="auto" w:fill="auto"/>
        <w:spacing w:before="0" w:after="0" w:line="240" w:lineRule="auto"/>
        <w:ind w:firstLine="0"/>
        <w:rPr>
          <w:rStyle w:val="Bodytext26"/>
        </w:rPr>
      </w:pPr>
    </w:p>
    <w:p w:rsidR="000B5BFC" w:rsidRDefault="00764274" w:rsidP="007C2B43">
      <w:pPr>
        <w:pStyle w:val="Bodytext21"/>
        <w:shd w:val="clear" w:color="auto" w:fill="auto"/>
        <w:spacing w:before="0" w:after="0" w:line="240" w:lineRule="auto"/>
        <w:ind w:firstLine="0"/>
        <w:rPr>
          <w:rStyle w:val="Bodytext26"/>
        </w:rPr>
      </w:pPr>
      <w:r>
        <w:rPr>
          <w:rStyle w:val="Bodytext26"/>
        </w:rPr>
        <w:t>Contributions in kind</w:t>
      </w:r>
    </w:p>
    <w:p w:rsidR="001B19B8" w:rsidRDefault="001B19B8" w:rsidP="007C2B43">
      <w:pPr>
        <w:pStyle w:val="Bodytext21"/>
        <w:shd w:val="clear" w:color="auto" w:fill="auto"/>
        <w:spacing w:before="0" w:after="0" w:line="240" w:lineRule="auto"/>
        <w:ind w:firstLine="0"/>
      </w:pPr>
      <w:r>
        <w:t>Contributions in kind mean the provision of goods or services to beneficiaries or affiliated entities free of charge by a third party. As contributions in kind do not involve any expenditure for beneficiaries or affiliated entities, they are normally not eligible costs.</w:t>
      </w:r>
    </w:p>
    <w:p w:rsidR="00A43902" w:rsidRDefault="00A43902" w:rsidP="007C2B43">
      <w:pPr>
        <w:pStyle w:val="Bodytext21"/>
        <w:shd w:val="clear" w:color="auto" w:fill="auto"/>
        <w:spacing w:before="0" w:after="0" w:line="240" w:lineRule="auto"/>
        <w:ind w:firstLine="0"/>
      </w:pPr>
    </w:p>
    <w:p w:rsidR="001B19B8" w:rsidRDefault="001B19B8" w:rsidP="007C2B43">
      <w:pPr>
        <w:pStyle w:val="Bodytext21"/>
        <w:shd w:val="clear" w:color="auto" w:fill="auto"/>
        <w:spacing w:before="0" w:after="0" w:line="240" w:lineRule="auto"/>
        <w:ind w:firstLine="0"/>
      </w:pPr>
      <w:r>
        <w:t xml:space="preserve">As an exception, contributions in kind may include personnel costs </w:t>
      </w:r>
      <w:r w:rsidRPr="007869AD">
        <w:rPr>
          <w:lang w:eastAsia="da-DK" w:bidi="da-DK"/>
        </w:rPr>
        <w:t xml:space="preserve">for </w:t>
      </w:r>
      <w:r>
        <w:t>the work carried out by volunteers under an action or work programme (which are eligible costs).</w:t>
      </w:r>
    </w:p>
    <w:p w:rsidR="00A43902" w:rsidRDefault="00A43902" w:rsidP="007C2B43">
      <w:pPr>
        <w:pStyle w:val="Bodytext21"/>
        <w:shd w:val="clear" w:color="auto" w:fill="auto"/>
        <w:spacing w:before="0" w:after="0" w:line="240" w:lineRule="auto"/>
        <w:ind w:firstLine="0"/>
      </w:pPr>
    </w:p>
    <w:p w:rsidR="001B19B8" w:rsidRDefault="001B19B8" w:rsidP="007C2B43">
      <w:pPr>
        <w:pStyle w:val="Bodytext21"/>
        <w:shd w:val="clear" w:color="auto" w:fill="auto"/>
        <w:spacing w:before="0" w:after="0" w:line="240" w:lineRule="auto"/>
        <w:ind w:firstLine="0"/>
      </w:pPr>
      <w:r>
        <w:t xml:space="preserve">Contributions in kind from </w:t>
      </w:r>
      <w:r w:rsidRPr="007869AD">
        <w:rPr>
          <w:lang w:eastAsia="da-DK" w:bidi="da-DK"/>
        </w:rPr>
        <w:t xml:space="preserve">third parties </w:t>
      </w:r>
      <w:r>
        <w:t xml:space="preserve">in the </w:t>
      </w:r>
      <w:r w:rsidRPr="007869AD">
        <w:rPr>
          <w:lang w:eastAsia="da-DK" w:bidi="da-DK"/>
        </w:rPr>
        <w:t xml:space="preserve">form </w:t>
      </w:r>
      <w:r>
        <w:t xml:space="preserve">of volunteers' work, valued on the basis of unit costs defined and authorised by the contracting authority, shall be </w:t>
      </w:r>
      <w:r w:rsidRPr="007869AD">
        <w:rPr>
          <w:lang w:eastAsia="da-DK" w:bidi="da-DK"/>
        </w:rPr>
        <w:t xml:space="preserve">presented </w:t>
      </w:r>
      <w:r>
        <w:t>in the estimated budget, separately from the other eligible costs (i.e. as an accepted cost together with other contributions in kind).</w:t>
      </w:r>
    </w:p>
    <w:p w:rsidR="001A23A8" w:rsidRDefault="001A23A8" w:rsidP="007C2B43">
      <w:pPr>
        <w:pStyle w:val="Bodytext21"/>
        <w:shd w:val="clear" w:color="auto" w:fill="auto"/>
        <w:spacing w:before="0" w:after="0" w:line="240" w:lineRule="auto"/>
        <w:ind w:firstLine="0"/>
      </w:pPr>
    </w:p>
    <w:p w:rsidR="001B19B8" w:rsidRDefault="001B19B8" w:rsidP="007C2B43">
      <w:pPr>
        <w:pStyle w:val="Bodytext21"/>
        <w:shd w:val="clear" w:color="auto" w:fill="auto"/>
        <w:spacing w:before="0" w:after="0" w:line="240" w:lineRule="auto"/>
        <w:ind w:firstLine="0"/>
      </w:pPr>
      <w:r>
        <w:t>Volunteers' work may comprise up to 50% of the co-financing. For the purposes of calculating this percentage, contributions in kind and other co-financing shall be based on estimates provided by the applicant.</w:t>
      </w:r>
    </w:p>
    <w:p w:rsidR="001B19B8" w:rsidRDefault="001B19B8" w:rsidP="007C2B43">
      <w:pPr>
        <w:pStyle w:val="Bodytext21"/>
        <w:shd w:val="clear" w:color="auto" w:fill="auto"/>
        <w:spacing w:before="0" w:after="0" w:line="240" w:lineRule="auto"/>
        <w:ind w:firstLine="0"/>
      </w:pPr>
      <w:r>
        <w:t xml:space="preserve">When the estimated costs include volunteers' work, the grant shall not exceed the estimated eligible costs other than the costs </w:t>
      </w:r>
      <w:r w:rsidRPr="007869AD">
        <w:rPr>
          <w:lang w:eastAsia="da-DK" w:bidi="da-DK"/>
        </w:rPr>
        <w:t xml:space="preserve">for </w:t>
      </w:r>
      <w:r>
        <w:t>volunteers' work.</w:t>
      </w:r>
    </w:p>
    <w:p w:rsidR="00A43902" w:rsidRDefault="00A43902"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Contributions in kind may not be treated as co</w:t>
      </w:r>
      <w:r w:rsidR="001B19B8">
        <w:t>-</w:t>
      </w:r>
      <w:r>
        <w:softHyphen/>
        <w:t>financing</w:t>
      </w:r>
      <w:r w:rsidR="001B19B8">
        <w:t xml:space="preserve">. </w:t>
      </w:r>
      <w:r>
        <w:t>However, if the description of the action as proposed includes contributions in kind, the contributions have to</w:t>
      </w:r>
      <w:r w:rsidR="00D31555">
        <w:t xml:space="preserve"> </w:t>
      </w:r>
      <w:r>
        <w:t>be made.</w:t>
      </w:r>
    </w:p>
    <w:p w:rsidR="00A43902" w:rsidRDefault="00A43902" w:rsidP="007C2B43">
      <w:pPr>
        <w:pStyle w:val="Bodytext21"/>
        <w:shd w:val="clear" w:color="auto" w:fill="auto"/>
        <w:spacing w:before="0" w:after="0" w:line="240" w:lineRule="auto"/>
        <w:ind w:firstLine="0"/>
        <w:rPr>
          <w:rStyle w:val="Bodytext26"/>
        </w:rPr>
      </w:pPr>
    </w:p>
    <w:p w:rsidR="000B5BFC" w:rsidRDefault="00764274" w:rsidP="007C2B43">
      <w:pPr>
        <w:pStyle w:val="Bodytext21"/>
        <w:shd w:val="clear" w:color="auto" w:fill="auto"/>
        <w:spacing w:before="0" w:after="0" w:line="240" w:lineRule="auto"/>
        <w:ind w:firstLine="0"/>
      </w:pPr>
      <w:r>
        <w:rPr>
          <w:rStyle w:val="Bodytext26"/>
        </w:rPr>
        <w:t>Ineligible costs</w:t>
      </w:r>
    </w:p>
    <w:p w:rsidR="000B5BFC" w:rsidRDefault="00764274" w:rsidP="007C2B43">
      <w:pPr>
        <w:pStyle w:val="Bodytext21"/>
        <w:shd w:val="clear" w:color="auto" w:fill="auto"/>
        <w:spacing w:before="0" w:after="0" w:line="240" w:lineRule="auto"/>
        <w:ind w:firstLine="0"/>
      </w:pPr>
      <w:r>
        <w:t>The following costs are not eligible:</w:t>
      </w:r>
    </w:p>
    <w:p w:rsidR="000B5BFC" w:rsidRDefault="00764274" w:rsidP="007C2B43">
      <w:pPr>
        <w:pStyle w:val="Bodytext21"/>
        <w:numPr>
          <w:ilvl w:val="0"/>
          <w:numId w:val="8"/>
        </w:numPr>
        <w:shd w:val="clear" w:color="auto" w:fill="auto"/>
        <w:tabs>
          <w:tab w:val="left" w:pos="799"/>
        </w:tabs>
        <w:spacing w:before="0" w:after="0" w:line="240" w:lineRule="auto"/>
        <w:ind w:left="800" w:hanging="360"/>
      </w:pPr>
      <w:r>
        <w:t>debts and debt service charges (interest);</w:t>
      </w:r>
    </w:p>
    <w:p w:rsidR="000B5BFC" w:rsidRDefault="00764274" w:rsidP="007C2B43">
      <w:pPr>
        <w:pStyle w:val="Bodytext21"/>
        <w:numPr>
          <w:ilvl w:val="0"/>
          <w:numId w:val="8"/>
        </w:numPr>
        <w:shd w:val="clear" w:color="auto" w:fill="auto"/>
        <w:tabs>
          <w:tab w:val="left" w:pos="799"/>
        </w:tabs>
        <w:spacing w:before="0" w:after="0" w:line="240" w:lineRule="auto"/>
        <w:ind w:left="800" w:hanging="360"/>
      </w:pPr>
      <w:r>
        <w:t>provisions for losses or potential future liabilities;</w:t>
      </w:r>
    </w:p>
    <w:p w:rsidR="000B5BFC" w:rsidRDefault="00764274" w:rsidP="007C2B43">
      <w:pPr>
        <w:pStyle w:val="Bodytext21"/>
        <w:numPr>
          <w:ilvl w:val="0"/>
          <w:numId w:val="8"/>
        </w:numPr>
        <w:shd w:val="clear" w:color="auto" w:fill="auto"/>
        <w:tabs>
          <w:tab w:val="left" w:pos="799"/>
        </w:tabs>
        <w:spacing w:before="0" w:after="0" w:line="240" w:lineRule="auto"/>
        <w:ind w:left="800" w:hanging="360"/>
      </w:pPr>
      <w:r>
        <w:t>costs declared by the beneficiary(</w:t>
      </w:r>
      <w:proofErr w:type="spellStart"/>
      <w:r>
        <w:t>ies</w:t>
      </w:r>
      <w:proofErr w:type="spellEnd"/>
      <w:r>
        <w:t xml:space="preserve">) and financed by another action or work programme receiving a European Union (including through EDF) </w:t>
      </w:r>
      <w:r>
        <w:rPr>
          <w:lang w:val="cs-CZ" w:eastAsia="cs-CZ" w:bidi="cs-CZ"/>
        </w:rPr>
        <w:t>grant;</w:t>
      </w:r>
    </w:p>
    <w:p w:rsidR="009F1C23" w:rsidRDefault="00764274" w:rsidP="007C2B43">
      <w:pPr>
        <w:pStyle w:val="Bodytext21"/>
        <w:numPr>
          <w:ilvl w:val="0"/>
          <w:numId w:val="8"/>
        </w:numPr>
        <w:shd w:val="clear" w:color="auto" w:fill="auto"/>
        <w:tabs>
          <w:tab w:val="left" w:pos="799"/>
        </w:tabs>
        <w:spacing w:before="0" w:after="0" w:line="240" w:lineRule="auto"/>
        <w:ind w:left="800" w:hanging="360"/>
      </w:pPr>
      <w:r>
        <w:t>purchases of land or buildings, except where necessary for the direct implementation of the action, in which case ownership must be transferred in accordance with Article 7.5 of the general conditions of the standard grant contract, at the latest at the end of the action;</w:t>
      </w:r>
    </w:p>
    <w:p w:rsidR="009F1C23" w:rsidRDefault="00764274" w:rsidP="007C2B43">
      <w:pPr>
        <w:pStyle w:val="Bodytext21"/>
        <w:numPr>
          <w:ilvl w:val="0"/>
          <w:numId w:val="8"/>
        </w:numPr>
        <w:shd w:val="clear" w:color="auto" w:fill="auto"/>
        <w:tabs>
          <w:tab w:val="left" w:pos="799"/>
        </w:tabs>
        <w:spacing w:before="0" w:after="0" w:line="240" w:lineRule="auto"/>
        <w:ind w:left="800" w:hanging="360"/>
      </w:pPr>
      <w:r w:rsidRPr="009F1C23">
        <w:t>currency exchange losses;</w:t>
      </w:r>
    </w:p>
    <w:p w:rsidR="009F1C23" w:rsidRDefault="00764274" w:rsidP="007C2B43">
      <w:pPr>
        <w:pStyle w:val="Bodytext21"/>
        <w:numPr>
          <w:ilvl w:val="0"/>
          <w:numId w:val="8"/>
        </w:numPr>
        <w:shd w:val="clear" w:color="auto" w:fill="auto"/>
        <w:tabs>
          <w:tab w:val="left" w:pos="799"/>
        </w:tabs>
        <w:spacing w:before="0" w:after="0" w:line="240" w:lineRule="auto"/>
        <w:ind w:left="800" w:hanging="360"/>
      </w:pPr>
      <w:r w:rsidRPr="009F1C23">
        <w:t>credit to third parties</w:t>
      </w:r>
      <w:r w:rsidR="009F1C23" w:rsidRPr="009F1C23">
        <w:t>;</w:t>
      </w:r>
    </w:p>
    <w:p w:rsidR="009F1C23" w:rsidRDefault="009F1C23" w:rsidP="007C2B43">
      <w:pPr>
        <w:pStyle w:val="Bodytext21"/>
        <w:numPr>
          <w:ilvl w:val="0"/>
          <w:numId w:val="8"/>
        </w:numPr>
        <w:shd w:val="clear" w:color="auto" w:fill="auto"/>
        <w:tabs>
          <w:tab w:val="left" w:pos="799"/>
        </w:tabs>
        <w:spacing w:before="0" w:after="0" w:line="240" w:lineRule="auto"/>
        <w:ind w:left="800" w:hanging="360"/>
      </w:pPr>
      <w:r w:rsidRPr="009F1C23">
        <w:lastRenderedPageBreak/>
        <w:t>salary costs of the personnel of national administrations.</w:t>
      </w:r>
    </w:p>
    <w:p w:rsidR="001A0D8A" w:rsidRDefault="001A0D8A" w:rsidP="007C2B43">
      <w:pPr>
        <w:pStyle w:val="Bodytext21"/>
        <w:shd w:val="clear" w:color="auto" w:fill="auto"/>
        <w:tabs>
          <w:tab w:val="left" w:pos="799"/>
        </w:tabs>
        <w:spacing w:before="0" w:after="0" w:line="240" w:lineRule="auto"/>
        <w:ind w:left="800" w:firstLine="0"/>
      </w:pPr>
    </w:p>
    <w:p w:rsidR="000B5BFC" w:rsidRDefault="00764274" w:rsidP="007C2B43">
      <w:pPr>
        <w:pStyle w:val="NoSpacing"/>
        <w:ind w:left="440"/>
        <w:rPr>
          <w:b/>
          <w:sz w:val="22"/>
          <w:szCs w:val="22"/>
        </w:rPr>
      </w:pPr>
      <w:bookmarkStart w:id="29" w:name="bookmark18"/>
      <w:r w:rsidRPr="00326880">
        <w:rPr>
          <w:b/>
          <w:sz w:val="22"/>
          <w:szCs w:val="22"/>
        </w:rPr>
        <w:t>Ethics clauses and Code of Conduct</w:t>
      </w:r>
      <w:bookmarkEnd w:id="29"/>
    </w:p>
    <w:p w:rsidR="00E01F24" w:rsidRDefault="00E01F24" w:rsidP="007C2B43">
      <w:pPr>
        <w:pStyle w:val="NoSpacing"/>
        <w:ind w:left="440"/>
        <w:rPr>
          <w:b/>
          <w:sz w:val="22"/>
          <w:szCs w:val="22"/>
        </w:rPr>
      </w:pPr>
    </w:p>
    <w:p w:rsidR="000B5BFC" w:rsidRDefault="00764274" w:rsidP="007C2B43">
      <w:pPr>
        <w:pStyle w:val="Bodytext21"/>
        <w:numPr>
          <w:ilvl w:val="0"/>
          <w:numId w:val="13"/>
        </w:numPr>
        <w:shd w:val="clear" w:color="auto" w:fill="auto"/>
        <w:tabs>
          <w:tab w:val="left" w:pos="734"/>
        </w:tabs>
        <w:spacing w:before="0" w:after="0" w:line="240" w:lineRule="auto"/>
        <w:ind w:left="440" w:firstLine="0"/>
      </w:pPr>
      <w:r>
        <w:rPr>
          <w:rStyle w:val="Bodytext26"/>
        </w:rPr>
        <w:t>Absence of conflict of interest</w:t>
      </w:r>
    </w:p>
    <w:p w:rsidR="000B5BFC" w:rsidRDefault="00764274" w:rsidP="007C2B43">
      <w:pPr>
        <w:pStyle w:val="Bodytext21"/>
        <w:shd w:val="clear" w:color="auto" w:fill="auto"/>
        <w:spacing w:before="0" w:after="0" w:line="240" w:lineRule="auto"/>
        <w:ind w:left="440" w:firstLine="0"/>
      </w:pPr>
      <w:r>
        <w:t xml:space="preserve">The applicant must not be affected by any conflict of interest and must have no equivalent </w:t>
      </w:r>
      <w:r w:rsidRPr="007869AD">
        <w:rPr>
          <w:lang w:eastAsia="da-DK" w:bidi="da-DK"/>
        </w:rPr>
        <w:t xml:space="preserve">relation </w:t>
      </w:r>
      <w:r>
        <w:t>in that respect with other applicants or parties involved in the actions. Any attempt by an applicant to obtain confidential information, enter into unlawful agreements with competitors or influence the evaluation committee or the contracting authority during the process of examining, clarifying, evaluating and comparing applications will lead to the rejection of its application and may result in administrative penalties according to the Financial Regulation in force.</w:t>
      </w:r>
    </w:p>
    <w:p w:rsidR="001A0D8A" w:rsidRDefault="001A0D8A" w:rsidP="007C2B43">
      <w:pPr>
        <w:pStyle w:val="Bodytext21"/>
        <w:shd w:val="clear" w:color="auto" w:fill="auto"/>
        <w:spacing w:before="0" w:after="0" w:line="240" w:lineRule="auto"/>
        <w:ind w:left="440" w:firstLine="0"/>
      </w:pPr>
    </w:p>
    <w:p w:rsidR="00E01F24" w:rsidRDefault="00E01F24" w:rsidP="007C2B43">
      <w:pPr>
        <w:pStyle w:val="Bodytext21"/>
        <w:shd w:val="clear" w:color="auto" w:fill="auto"/>
        <w:spacing w:before="0" w:after="0" w:line="240" w:lineRule="auto"/>
        <w:ind w:left="440" w:firstLine="0"/>
      </w:pPr>
    </w:p>
    <w:p w:rsidR="000B5BFC" w:rsidRDefault="00764274" w:rsidP="007C2B43">
      <w:pPr>
        <w:pStyle w:val="Bodytext21"/>
        <w:numPr>
          <w:ilvl w:val="0"/>
          <w:numId w:val="13"/>
        </w:numPr>
        <w:shd w:val="clear" w:color="auto" w:fill="auto"/>
        <w:tabs>
          <w:tab w:val="left" w:pos="753"/>
        </w:tabs>
        <w:spacing w:before="0" w:after="0" w:line="240" w:lineRule="auto"/>
        <w:ind w:left="440" w:firstLine="0"/>
      </w:pPr>
      <w:r>
        <w:t>Respect for human rights as well as environmental legislation and core labour standards</w:t>
      </w:r>
    </w:p>
    <w:p w:rsidR="000B5BFC" w:rsidRDefault="00764274" w:rsidP="007C2B43">
      <w:pPr>
        <w:pStyle w:val="Bodytext21"/>
        <w:shd w:val="clear" w:color="auto" w:fill="auto"/>
        <w:spacing w:before="0" w:after="0" w:line="240" w:lineRule="auto"/>
        <w:ind w:left="440" w:firstLine="0"/>
        <w:rPr>
          <w:lang w:eastAsia="da-DK" w:bidi="da-DK"/>
        </w:rPr>
      </w:pPr>
      <w:r>
        <w:t xml:space="preserve">The applicant and its staff must comply with human rights. In particular and in accordance with the applicable act, applicants who have been awarded contracts must comply with the environmental legislation including multilateral environmental agreements, and with the core labour standards as applicable and as defined in the </w:t>
      </w:r>
      <w:r w:rsidRPr="007869AD">
        <w:rPr>
          <w:lang w:eastAsia="da-DK" w:bidi="da-DK"/>
        </w:rPr>
        <w:t xml:space="preserve">relevant </w:t>
      </w:r>
      <w:r>
        <w:t xml:space="preserve">International Labour Organisation conventions (such as the conventions on freedom of association and collective bargaining; elimination of forced and compulsory labour; abolition of child </w:t>
      </w:r>
      <w:r w:rsidRPr="007869AD">
        <w:rPr>
          <w:lang w:eastAsia="da-DK" w:bidi="da-DK"/>
        </w:rPr>
        <w:t>labour).</w:t>
      </w:r>
    </w:p>
    <w:p w:rsidR="00C31321" w:rsidRDefault="00C31321" w:rsidP="009763AA">
      <w:pPr>
        <w:rPr>
          <w:sz w:val="22"/>
          <w:szCs w:val="22"/>
        </w:rPr>
      </w:pPr>
    </w:p>
    <w:p w:rsidR="000B5BFC" w:rsidRDefault="00764274" w:rsidP="007C2B43">
      <w:pPr>
        <w:pStyle w:val="Bodytext51"/>
        <w:pBdr>
          <w:top w:val="single" w:sz="4" w:space="1" w:color="auto"/>
          <w:left w:val="single" w:sz="4" w:space="4" w:color="auto"/>
          <w:bottom w:val="single" w:sz="4" w:space="24" w:color="auto"/>
          <w:right w:val="single" w:sz="4" w:space="4" w:color="auto"/>
        </w:pBdr>
        <w:shd w:val="clear" w:color="auto" w:fill="auto"/>
        <w:spacing w:before="0" w:after="236" w:line="240" w:lineRule="auto"/>
        <w:ind w:left="440" w:firstLine="0"/>
      </w:pPr>
      <w:r>
        <w:t>Zero tolerance for sexual exploitation and sexual abuse:</w:t>
      </w:r>
    </w:p>
    <w:p w:rsidR="000B5BFC" w:rsidRDefault="00764274" w:rsidP="007C2B43">
      <w:pPr>
        <w:pStyle w:val="Bodytext21"/>
        <w:pBdr>
          <w:top w:val="single" w:sz="4" w:space="1" w:color="auto"/>
          <w:left w:val="single" w:sz="4" w:space="4" w:color="auto"/>
          <w:bottom w:val="single" w:sz="4" w:space="24" w:color="auto"/>
          <w:right w:val="single" w:sz="4" w:space="4" w:color="auto"/>
        </w:pBdr>
        <w:shd w:val="clear" w:color="auto" w:fill="auto"/>
        <w:spacing w:before="0" w:after="236" w:line="240" w:lineRule="auto"/>
        <w:ind w:left="440" w:firstLine="0"/>
      </w:pPr>
      <w:r>
        <w:t xml:space="preserve">The European Commission applies a policy of </w:t>
      </w:r>
      <w:r>
        <w:rPr>
          <w:lang w:val="hr-HR" w:eastAsia="hr-HR" w:bidi="hr-HR"/>
        </w:rPr>
        <w:t xml:space="preserve">'zero </w:t>
      </w:r>
      <w:r>
        <w:t xml:space="preserve">tolerance' in </w:t>
      </w:r>
      <w:r w:rsidRPr="007869AD">
        <w:rPr>
          <w:lang w:eastAsia="da-DK" w:bidi="da-DK"/>
        </w:rPr>
        <w:t xml:space="preserve">relation </w:t>
      </w:r>
      <w:r>
        <w:t>to all wrongful conduct which has an impact on the professional credibility of the applicant.</w:t>
      </w:r>
    </w:p>
    <w:p w:rsidR="000B5BFC" w:rsidRDefault="00764274" w:rsidP="007C2B43">
      <w:pPr>
        <w:pStyle w:val="Bodytext21"/>
        <w:pBdr>
          <w:top w:val="single" w:sz="4" w:space="1" w:color="auto"/>
          <w:left w:val="single" w:sz="4" w:space="4" w:color="auto"/>
          <w:bottom w:val="single" w:sz="4" w:space="24" w:color="auto"/>
          <w:right w:val="single" w:sz="4" w:space="4" w:color="auto"/>
        </w:pBdr>
        <w:shd w:val="clear" w:color="auto" w:fill="auto"/>
        <w:spacing w:before="0" w:after="668" w:line="240" w:lineRule="auto"/>
        <w:ind w:left="440" w:firstLine="0"/>
      </w:pPr>
      <w:r>
        <w:t xml:space="preserve">Physical abuse or punishment, or threats of physical abuse, sexual </w:t>
      </w:r>
      <w:r>
        <w:rPr>
          <w:lang w:val="cs-CZ" w:eastAsia="cs-CZ" w:bidi="cs-CZ"/>
        </w:rPr>
        <w:t xml:space="preserve">abuse </w:t>
      </w:r>
      <w:r>
        <w:t>or exploitation, harassment and verbal abuse, as well as other forms of intimidation shall be prohibited.</w:t>
      </w:r>
    </w:p>
    <w:p w:rsidR="000B5BFC" w:rsidRDefault="00764274" w:rsidP="007C2B43">
      <w:pPr>
        <w:pStyle w:val="Bodytext21"/>
        <w:numPr>
          <w:ilvl w:val="0"/>
          <w:numId w:val="13"/>
        </w:numPr>
        <w:shd w:val="clear" w:color="auto" w:fill="auto"/>
        <w:tabs>
          <w:tab w:val="left" w:pos="734"/>
        </w:tabs>
        <w:spacing w:before="0" w:after="0" w:line="240" w:lineRule="auto"/>
        <w:ind w:left="440" w:firstLine="0"/>
      </w:pPr>
      <w:r>
        <w:rPr>
          <w:rStyle w:val="Bodytext26"/>
        </w:rPr>
        <w:t>Anti-corruption and anti-bribery</w:t>
      </w:r>
    </w:p>
    <w:p w:rsidR="000B5BFC" w:rsidRDefault="00764274" w:rsidP="007C2B43">
      <w:pPr>
        <w:pStyle w:val="Bodytext21"/>
        <w:shd w:val="clear" w:color="auto" w:fill="auto"/>
        <w:spacing w:before="0" w:after="0" w:line="240" w:lineRule="auto"/>
        <w:ind w:left="440" w:firstLine="0"/>
      </w:pPr>
      <w:r>
        <w:t xml:space="preserve">The applicant shall comply with </w:t>
      </w:r>
      <w:r w:rsidRPr="007869AD">
        <w:rPr>
          <w:lang w:eastAsia="da-DK" w:bidi="da-DK"/>
        </w:rPr>
        <w:t xml:space="preserve">all </w:t>
      </w:r>
      <w:r>
        <w:t xml:space="preserve">applicable laws and regulations and codes relating to anti-bribery and anti-corruption. The European Commission </w:t>
      </w:r>
      <w:r w:rsidRPr="007869AD">
        <w:rPr>
          <w:lang w:eastAsia="da-DK" w:bidi="da-DK"/>
        </w:rPr>
        <w:t xml:space="preserve">reserves </w:t>
      </w:r>
      <w:r>
        <w:t xml:space="preserve">the right to suspend or cancel </w:t>
      </w:r>
      <w:r w:rsidRPr="007869AD">
        <w:rPr>
          <w:lang w:eastAsia="da-DK" w:bidi="da-DK"/>
        </w:rPr>
        <w:t xml:space="preserve">project </w:t>
      </w:r>
      <w:r>
        <w:t xml:space="preserve">financing if corrupt practices of any kind are discovered at any stage of the award process or during the execution of a contract and if the contracting authority </w:t>
      </w:r>
      <w:r w:rsidRPr="007869AD">
        <w:rPr>
          <w:lang w:eastAsia="da-DK" w:bidi="da-DK"/>
        </w:rPr>
        <w:t xml:space="preserve">fails </w:t>
      </w:r>
      <w:r>
        <w:t xml:space="preserve">to take </w:t>
      </w:r>
      <w:r w:rsidRPr="007869AD">
        <w:rPr>
          <w:lang w:eastAsia="da-DK" w:bidi="da-DK"/>
        </w:rPr>
        <w:t xml:space="preserve">all </w:t>
      </w:r>
      <w:r>
        <w:t xml:space="preserve">appropriate measures to remedy the situation. For the purposes of this provision, ‘corrupt practices’ are the offer of a bribe, gift, gratuity or commission to any person as an inducement or reward </w:t>
      </w:r>
      <w:r w:rsidRPr="007869AD">
        <w:rPr>
          <w:lang w:eastAsia="da-DK" w:bidi="da-DK"/>
        </w:rPr>
        <w:t xml:space="preserve">for </w:t>
      </w:r>
      <w:r>
        <w:t>performing or refraining from any act relating to the award of a contract or execution of a contract already concluded with the contracting authority.</w:t>
      </w:r>
    </w:p>
    <w:p w:rsidR="001A0D8A" w:rsidRDefault="001A0D8A" w:rsidP="007C2B43">
      <w:pPr>
        <w:pStyle w:val="Bodytext21"/>
        <w:shd w:val="clear" w:color="auto" w:fill="auto"/>
        <w:spacing w:before="0" w:after="0" w:line="240" w:lineRule="auto"/>
        <w:ind w:left="440" w:firstLine="0"/>
      </w:pPr>
    </w:p>
    <w:p w:rsidR="000B5BFC" w:rsidRDefault="00764274" w:rsidP="007C2B43">
      <w:pPr>
        <w:pStyle w:val="Bodytext21"/>
        <w:numPr>
          <w:ilvl w:val="0"/>
          <w:numId w:val="13"/>
        </w:numPr>
        <w:shd w:val="clear" w:color="auto" w:fill="auto"/>
        <w:tabs>
          <w:tab w:val="left" w:pos="668"/>
        </w:tabs>
        <w:spacing w:before="0" w:after="0" w:line="240" w:lineRule="auto"/>
        <w:ind w:left="360" w:firstLine="0"/>
        <w:jc w:val="left"/>
      </w:pPr>
      <w:r>
        <w:rPr>
          <w:rStyle w:val="Bodytext26"/>
        </w:rPr>
        <w:t>Unusual commercial expenses</w:t>
      </w:r>
    </w:p>
    <w:p w:rsidR="000B5BFC" w:rsidRDefault="00764274" w:rsidP="007C2B43">
      <w:pPr>
        <w:pStyle w:val="Bodytext21"/>
        <w:shd w:val="clear" w:color="auto" w:fill="auto"/>
        <w:spacing w:before="0" w:after="0" w:line="240" w:lineRule="auto"/>
        <w:ind w:left="440" w:firstLine="0"/>
      </w:pPr>
      <w:r>
        <w:t>Applications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1A0D8A" w:rsidRDefault="001A0D8A" w:rsidP="007C2B43">
      <w:pPr>
        <w:pStyle w:val="Bodytext21"/>
        <w:shd w:val="clear" w:color="auto" w:fill="auto"/>
        <w:spacing w:before="0" w:after="0" w:line="240" w:lineRule="auto"/>
        <w:ind w:left="440" w:firstLine="0"/>
      </w:pPr>
    </w:p>
    <w:p w:rsidR="000B5BFC" w:rsidRPr="001E69F2" w:rsidRDefault="00764274" w:rsidP="007C2B43">
      <w:pPr>
        <w:ind w:left="440"/>
        <w:rPr>
          <w:sz w:val="22"/>
          <w:szCs w:val="22"/>
        </w:rPr>
      </w:pPr>
      <w:r w:rsidRPr="001E69F2">
        <w:rPr>
          <w:sz w:val="22"/>
          <w:szCs w:val="22"/>
        </w:rPr>
        <w:t>Grant beneficiaries found to have paid unusual commercial expenses on projects funded by the European Union are liable, depending on the seriousness of the facts observed, to have their contracts terminated or to be permanently excluded from receiving EU/EDF funds.</w:t>
      </w:r>
    </w:p>
    <w:p w:rsidR="001B19B8" w:rsidRPr="001E69F2" w:rsidRDefault="001B19B8" w:rsidP="007C2B43">
      <w:pPr>
        <w:rPr>
          <w:sz w:val="22"/>
          <w:szCs w:val="22"/>
        </w:rPr>
      </w:pPr>
    </w:p>
    <w:p w:rsidR="000B5BFC" w:rsidRDefault="001B19B8" w:rsidP="007C2B43">
      <w:pPr>
        <w:tabs>
          <w:tab w:val="left" w:pos="360"/>
        </w:tabs>
        <w:rPr>
          <w:sz w:val="22"/>
          <w:szCs w:val="22"/>
        </w:rPr>
      </w:pPr>
      <w:r w:rsidRPr="001E69F2">
        <w:rPr>
          <w:sz w:val="22"/>
          <w:szCs w:val="22"/>
        </w:rPr>
        <w:tab/>
        <w:t xml:space="preserve">e)  </w:t>
      </w:r>
      <w:r w:rsidR="00764274" w:rsidRPr="001E69F2">
        <w:rPr>
          <w:sz w:val="22"/>
          <w:szCs w:val="22"/>
        </w:rPr>
        <w:t>Error, irregularities or fraud</w:t>
      </w:r>
      <w:r w:rsidR="004D730B">
        <w:rPr>
          <w:sz w:val="22"/>
          <w:szCs w:val="22"/>
        </w:rPr>
        <w:t>.</w:t>
      </w:r>
    </w:p>
    <w:p w:rsidR="000B5BFC" w:rsidRDefault="00764274" w:rsidP="007C2B43">
      <w:pPr>
        <w:tabs>
          <w:tab w:val="left" w:pos="360"/>
        </w:tabs>
        <w:ind w:left="360"/>
        <w:jc w:val="both"/>
        <w:rPr>
          <w:sz w:val="22"/>
          <w:szCs w:val="22"/>
        </w:rPr>
      </w:pPr>
      <w:r w:rsidRPr="001E69F2">
        <w:rPr>
          <w:sz w:val="22"/>
          <w:szCs w:val="22"/>
        </w:rPr>
        <w:lastRenderedPageBreak/>
        <w:t>The contracting authority reserves the right to suspend or cancel the procedure, where the award procedure proves to have been subject to substantial errors, irregularities or fraud. If substantial errors, irregularities or fraud are discovered after the award of the contract, the contracting authority may refrain from concluding the contract.</w:t>
      </w:r>
    </w:p>
    <w:p w:rsidR="00273618" w:rsidRDefault="00273618" w:rsidP="007C2B43">
      <w:pPr>
        <w:tabs>
          <w:tab w:val="left" w:pos="360"/>
        </w:tabs>
        <w:ind w:left="360"/>
        <w:jc w:val="both"/>
        <w:rPr>
          <w:sz w:val="22"/>
          <w:szCs w:val="22"/>
        </w:rPr>
      </w:pPr>
    </w:p>
    <w:p w:rsidR="001E69F2" w:rsidRPr="00AD777C" w:rsidRDefault="00AD777C" w:rsidP="009763AA">
      <w:pPr>
        <w:pStyle w:val="Heading2"/>
        <w:spacing w:before="0"/>
        <w:jc w:val="both"/>
        <w:rPr>
          <w:rStyle w:val="Bodytext29pt"/>
          <w:rFonts w:eastAsiaTheme="majorEastAsia"/>
          <w:b/>
          <w:bCs/>
          <w:smallCaps w:val="0"/>
          <w:sz w:val="24"/>
          <w:szCs w:val="24"/>
        </w:rPr>
      </w:pPr>
      <w:bookmarkStart w:id="30" w:name="_Toc5010055"/>
      <w:bookmarkStart w:id="31" w:name="bookmark19"/>
      <w:r>
        <w:rPr>
          <w:rStyle w:val="Bodytext2Bold2"/>
          <w:rFonts w:eastAsiaTheme="majorEastAsia"/>
          <w:b/>
          <w:sz w:val="24"/>
          <w:szCs w:val="24"/>
        </w:rPr>
        <w:t xml:space="preserve">2.2. </w:t>
      </w:r>
      <w:r w:rsidRPr="00AD777C">
        <w:rPr>
          <w:rStyle w:val="Bodytext2Bold2"/>
          <w:rFonts w:eastAsiaTheme="majorEastAsia"/>
          <w:b/>
          <w:sz w:val="24"/>
          <w:szCs w:val="24"/>
        </w:rPr>
        <w:t>H</w:t>
      </w:r>
      <w:r w:rsidRPr="00AD777C">
        <w:rPr>
          <w:rStyle w:val="Bodytext29pt"/>
          <w:rFonts w:eastAsiaTheme="majorEastAsia"/>
          <w:b/>
          <w:sz w:val="24"/>
          <w:szCs w:val="24"/>
        </w:rPr>
        <w:t>ow to apply and the procedures to follow</w:t>
      </w:r>
      <w:bookmarkEnd w:id="30"/>
      <w:r w:rsidRPr="00AD777C">
        <w:rPr>
          <w:rStyle w:val="Bodytext29pt"/>
          <w:rFonts w:eastAsiaTheme="majorEastAsia"/>
          <w:b/>
          <w:sz w:val="24"/>
          <w:szCs w:val="24"/>
        </w:rPr>
        <w:t xml:space="preserve"> </w:t>
      </w:r>
    </w:p>
    <w:p w:rsidR="00AD777C" w:rsidRDefault="00AD777C" w:rsidP="009763AA">
      <w:pPr>
        <w:jc w:val="both"/>
        <w:rPr>
          <w:sz w:val="22"/>
          <w:szCs w:val="22"/>
        </w:rPr>
      </w:pPr>
    </w:p>
    <w:p w:rsidR="000B5BFC" w:rsidRDefault="00764274" w:rsidP="009763AA">
      <w:pPr>
        <w:jc w:val="both"/>
        <w:rPr>
          <w:sz w:val="22"/>
          <w:szCs w:val="22"/>
        </w:rPr>
      </w:pPr>
      <w:r w:rsidRPr="001E69F2">
        <w:rPr>
          <w:sz w:val="22"/>
          <w:szCs w:val="22"/>
        </w:rPr>
        <w:t xml:space="preserve">To apply for this call for proposals the lead applicants </w:t>
      </w:r>
      <w:r w:rsidR="001E69F2">
        <w:rPr>
          <w:sz w:val="22"/>
          <w:szCs w:val="22"/>
        </w:rPr>
        <w:t>n</w:t>
      </w:r>
      <w:r w:rsidRPr="001E69F2">
        <w:rPr>
          <w:sz w:val="22"/>
          <w:szCs w:val="22"/>
        </w:rPr>
        <w:t>eed to:</w:t>
      </w:r>
      <w:bookmarkEnd w:id="31"/>
    </w:p>
    <w:p w:rsidR="001E69F2" w:rsidRPr="001E69F2" w:rsidRDefault="001E69F2" w:rsidP="00480E34">
      <w:pPr>
        <w:jc w:val="both"/>
        <w:rPr>
          <w:sz w:val="22"/>
          <w:szCs w:val="22"/>
        </w:rPr>
      </w:pPr>
    </w:p>
    <w:p w:rsidR="000B5BFC" w:rsidRDefault="00764274" w:rsidP="00480E34">
      <w:pPr>
        <w:jc w:val="both"/>
        <w:rPr>
          <w:sz w:val="22"/>
          <w:szCs w:val="22"/>
        </w:rPr>
      </w:pPr>
      <w:r w:rsidRPr="001E69F2">
        <w:rPr>
          <w:sz w:val="22"/>
          <w:szCs w:val="22"/>
        </w:rPr>
        <w:t xml:space="preserve">I. Provide information about the organisations involved in the action. Please note that the registration of this data in </w:t>
      </w:r>
      <w:r w:rsidRPr="001E69F2">
        <w:rPr>
          <w:b/>
          <w:sz w:val="22"/>
          <w:szCs w:val="22"/>
        </w:rPr>
        <w:t>PADOR is obligatory</w:t>
      </w:r>
      <w:r w:rsidR="0056135A">
        <w:rPr>
          <w:rStyle w:val="FootnoteReference"/>
          <w:b/>
          <w:sz w:val="22"/>
          <w:szCs w:val="22"/>
        </w:rPr>
        <w:footnoteReference w:id="14"/>
      </w:r>
      <w:r w:rsidRPr="001E69F2">
        <w:rPr>
          <w:sz w:val="22"/>
          <w:szCs w:val="22"/>
        </w:rPr>
        <w:t xml:space="preserve"> for this call for proposals:</w:t>
      </w:r>
    </w:p>
    <w:p w:rsidR="001E69F2" w:rsidRPr="001E69F2" w:rsidRDefault="001E69F2">
      <w:pPr>
        <w:jc w:val="both"/>
        <w:rPr>
          <w:sz w:val="22"/>
          <w:szCs w:val="22"/>
        </w:rPr>
      </w:pPr>
    </w:p>
    <w:p w:rsidR="000B5BFC" w:rsidRDefault="00764274">
      <w:pPr>
        <w:jc w:val="both"/>
        <w:rPr>
          <w:sz w:val="22"/>
          <w:szCs w:val="22"/>
        </w:rPr>
      </w:pPr>
      <w:r w:rsidRPr="001E69F2">
        <w:rPr>
          <w:b/>
          <w:sz w:val="22"/>
          <w:szCs w:val="22"/>
        </w:rPr>
        <w:t>Concept note step</w:t>
      </w:r>
      <w:r w:rsidRPr="001E69F2">
        <w:rPr>
          <w:sz w:val="22"/>
          <w:szCs w:val="22"/>
        </w:rPr>
        <w:t>: Registration is obligatory for lead applicants applying for EU contributions of more than EUR 60 000.</w:t>
      </w:r>
    </w:p>
    <w:p w:rsidR="001E69F2" w:rsidRPr="001E69F2" w:rsidRDefault="001E69F2">
      <w:pPr>
        <w:jc w:val="both"/>
        <w:rPr>
          <w:sz w:val="22"/>
          <w:szCs w:val="22"/>
        </w:rPr>
      </w:pPr>
    </w:p>
    <w:p w:rsidR="000B5BFC" w:rsidRDefault="00764274">
      <w:pPr>
        <w:jc w:val="both"/>
        <w:rPr>
          <w:sz w:val="22"/>
          <w:szCs w:val="22"/>
        </w:rPr>
      </w:pPr>
      <w:r w:rsidRPr="001E69F2">
        <w:rPr>
          <w:b/>
          <w:sz w:val="22"/>
          <w:szCs w:val="22"/>
        </w:rPr>
        <w:t>Full application step</w:t>
      </w:r>
      <w:r w:rsidRPr="001E69F2">
        <w:rPr>
          <w:sz w:val="22"/>
          <w:szCs w:val="22"/>
        </w:rPr>
        <w:t>: Registration is obligatory for co-applicant(s) and affiliated entity(</w:t>
      </w:r>
      <w:proofErr w:type="spellStart"/>
      <w:r w:rsidRPr="001E69F2">
        <w:rPr>
          <w:sz w:val="22"/>
          <w:szCs w:val="22"/>
        </w:rPr>
        <w:t>ies</w:t>
      </w:r>
      <w:proofErr w:type="spellEnd"/>
      <w:r w:rsidRPr="001E69F2">
        <w:rPr>
          <w:sz w:val="22"/>
          <w:szCs w:val="22"/>
        </w:rPr>
        <w:t>). Lead applicants must make sure that their PADOR profile is up to date.</w:t>
      </w:r>
    </w:p>
    <w:p w:rsidR="001E69F2" w:rsidRPr="001E69F2" w:rsidRDefault="001E69F2">
      <w:pPr>
        <w:jc w:val="both"/>
        <w:rPr>
          <w:sz w:val="22"/>
          <w:szCs w:val="22"/>
        </w:rPr>
      </w:pPr>
    </w:p>
    <w:p w:rsidR="000B5BFC" w:rsidRDefault="00764274">
      <w:pPr>
        <w:jc w:val="both"/>
        <w:rPr>
          <w:sz w:val="22"/>
          <w:szCs w:val="22"/>
        </w:rPr>
      </w:pPr>
      <w:r w:rsidRPr="001E69F2">
        <w:rPr>
          <w:sz w:val="22"/>
          <w:szCs w:val="22"/>
        </w:rPr>
        <w:t xml:space="preserve">II. Provide information about the action in the documents listed under sections 2.2.2 (concept note) and 2.2.5 (full application). Please note that online submission via </w:t>
      </w:r>
      <w:r w:rsidRPr="001E69F2">
        <w:rPr>
          <w:b/>
          <w:sz w:val="22"/>
          <w:szCs w:val="22"/>
        </w:rPr>
        <w:t>PROSPECT is obligatory</w:t>
      </w:r>
      <w:r w:rsidRPr="001E69F2">
        <w:rPr>
          <w:sz w:val="22"/>
          <w:szCs w:val="22"/>
        </w:rPr>
        <w:t xml:space="preserve"> for this call</w:t>
      </w:r>
      <w:r w:rsidR="001E69F2">
        <w:rPr>
          <w:sz w:val="22"/>
          <w:szCs w:val="22"/>
        </w:rPr>
        <w:t>.</w:t>
      </w:r>
    </w:p>
    <w:p w:rsidR="000B5BFC" w:rsidRPr="001E69F2" w:rsidRDefault="00764274">
      <w:pPr>
        <w:jc w:val="both"/>
        <w:rPr>
          <w:sz w:val="22"/>
          <w:szCs w:val="22"/>
        </w:rPr>
      </w:pPr>
      <w:r w:rsidRPr="001E69F2">
        <w:rPr>
          <w:sz w:val="22"/>
          <w:szCs w:val="22"/>
        </w:rPr>
        <w:t>PADOR is an on-line database in which organisations register and update information concerning their entity. Organisations registered in PADOR get a unique ID (EuropeAid ID) which they must mention in their application. PADOR is accessible via the website:</w:t>
      </w:r>
      <w:hyperlink r:id="rId14" w:history="1">
        <w:r w:rsidRPr="001E69F2">
          <w:rPr>
            <w:rStyle w:val="Hyperlink"/>
            <w:sz w:val="22"/>
            <w:szCs w:val="22"/>
          </w:rPr>
          <w:t xml:space="preserve"> http://ec.europa.eu/europeaid/pador </w:t>
        </w:r>
        <w:proofErr w:type="spellStart"/>
        <w:r w:rsidRPr="001E69F2">
          <w:rPr>
            <w:rStyle w:val="Hyperlink"/>
            <w:sz w:val="22"/>
            <w:szCs w:val="22"/>
          </w:rPr>
          <w:t>en</w:t>
        </w:r>
        <w:proofErr w:type="spellEnd"/>
      </w:hyperlink>
    </w:p>
    <w:p w:rsidR="0056135A" w:rsidRDefault="0056135A">
      <w:pPr>
        <w:jc w:val="both"/>
        <w:rPr>
          <w:sz w:val="22"/>
          <w:szCs w:val="22"/>
        </w:rPr>
      </w:pPr>
    </w:p>
    <w:p w:rsidR="000B5BFC" w:rsidRPr="0056135A" w:rsidRDefault="00764274">
      <w:pPr>
        <w:jc w:val="both"/>
        <w:rPr>
          <w:b/>
          <w:sz w:val="22"/>
          <w:szCs w:val="22"/>
        </w:rPr>
      </w:pPr>
      <w:r w:rsidRPr="0056135A">
        <w:rPr>
          <w:b/>
          <w:sz w:val="22"/>
          <w:szCs w:val="22"/>
        </w:rPr>
        <w:t>It is strongly recommended to register in PADOR well in advance and not to wait until the last minute before the deadline to submit your application in PROSPECT.</w:t>
      </w:r>
    </w:p>
    <w:p w:rsidR="0056135A" w:rsidRPr="001E69F2" w:rsidRDefault="0056135A">
      <w:pPr>
        <w:jc w:val="both"/>
        <w:rPr>
          <w:sz w:val="22"/>
          <w:szCs w:val="22"/>
        </w:rPr>
      </w:pPr>
    </w:p>
    <w:p w:rsidR="000B5BFC" w:rsidRDefault="00764274">
      <w:pPr>
        <w:jc w:val="both"/>
        <w:rPr>
          <w:sz w:val="22"/>
          <w:szCs w:val="22"/>
        </w:rPr>
      </w:pPr>
      <w:r w:rsidRPr="001E69F2">
        <w:rPr>
          <w:sz w:val="22"/>
          <w:szCs w:val="22"/>
        </w:rPr>
        <w:t>If it is impossible to register online in PADOR for technical reasons, the applicants and/or affiliated entity(</w:t>
      </w:r>
      <w:proofErr w:type="spellStart"/>
      <w:r w:rsidRPr="001E69F2">
        <w:rPr>
          <w:sz w:val="22"/>
          <w:szCs w:val="22"/>
        </w:rPr>
        <w:t>ies</w:t>
      </w:r>
      <w:proofErr w:type="spellEnd"/>
      <w:r w:rsidRPr="001E69F2">
        <w:rPr>
          <w:sz w:val="22"/>
          <w:szCs w:val="22"/>
        </w:rPr>
        <w:t>) must complete the ‘PADOR off-line form</w:t>
      </w:r>
      <w:r w:rsidR="0056135A">
        <w:rPr>
          <w:rStyle w:val="FootnoteReference"/>
          <w:sz w:val="22"/>
          <w:szCs w:val="22"/>
        </w:rPr>
        <w:footnoteReference w:id="15"/>
      </w:r>
      <w:r w:rsidRPr="001E69F2">
        <w:rPr>
          <w:sz w:val="22"/>
          <w:szCs w:val="22"/>
        </w:rPr>
        <w:t xml:space="preserve"> attached to these guidelines. This form must be </w:t>
      </w:r>
      <w:r w:rsidRPr="0056135A">
        <w:rPr>
          <w:b/>
          <w:sz w:val="22"/>
          <w:szCs w:val="22"/>
          <w:u w:val="single"/>
        </w:rPr>
        <w:t>sent together with the application</w:t>
      </w:r>
      <w:r w:rsidRPr="001E69F2">
        <w:rPr>
          <w:sz w:val="22"/>
          <w:szCs w:val="22"/>
        </w:rPr>
        <w:t>, by the submission deadline (see sections 2.2.2 and 2.2.5).</w:t>
      </w:r>
    </w:p>
    <w:p w:rsidR="0056135A" w:rsidRPr="001E69F2" w:rsidRDefault="0056135A">
      <w:pPr>
        <w:jc w:val="both"/>
        <w:rPr>
          <w:sz w:val="22"/>
          <w:szCs w:val="22"/>
        </w:rPr>
      </w:pPr>
    </w:p>
    <w:p w:rsidR="000B5BFC" w:rsidRDefault="00764274">
      <w:pPr>
        <w:jc w:val="both"/>
        <w:rPr>
          <w:b/>
          <w:sz w:val="22"/>
          <w:szCs w:val="22"/>
        </w:rPr>
      </w:pPr>
      <w:r w:rsidRPr="001E69F2">
        <w:rPr>
          <w:sz w:val="22"/>
          <w:szCs w:val="22"/>
        </w:rPr>
        <w:t xml:space="preserve">Before starting using PADOR and PROSPECT, please read the user guides available on the website. All technical questions related </w:t>
      </w:r>
      <w:r w:rsidR="004D730B">
        <w:rPr>
          <w:sz w:val="22"/>
          <w:szCs w:val="22"/>
        </w:rPr>
        <w:t xml:space="preserve">to </w:t>
      </w:r>
      <w:r w:rsidRPr="001E69F2">
        <w:rPr>
          <w:sz w:val="22"/>
          <w:szCs w:val="22"/>
        </w:rPr>
        <w:t>the use of these systems should be addressed to the IT helpdesk at</w:t>
      </w:r>
      <w:hyperlink r:id="rId15" w:history="1">
        <w:r w:rsidRPr="001E69F2">
          <w:rPr>
            <w:rStyle w:val="Hyperlink"/>
            <w:sz w:val="22"/>
            <w:szCs w:val="22"/>
          </w:rPr>
          <w:t xml:space="preserve"> EuropeAid-IT-</w:t>
        </w:r>
      </w:hyperlink>
      <w:hyperlink r:id="rId16" w:history="1">
        <w:r w:rsidRPr="001E69F2">
          <w:rPr>
            <w:rStyle w:val="Hyperlink"/>
            <w:sz w:val="22"/>
            <w:szCs w:val="22"/>
          </w:rPr>
          <w:t xml:space="preserve"> support@ec.europa.eu</w:t>
        </w:r>
      </w:hyperlink>
      <w:hyperlink r:id="rId17" w:history="1"/>
      <w:r w:rsidRPr="0056135A">
        <w:rPr>
          <w:b/>
          <w:sz w:val="22"/>
          <w:szCs w:val="22"/>
        </w:rPr>
        <w:t>via the online support form in</w:t>
      </w:r>
      <w:r w:rsidR="004A0D2A">
        <w:rPr>
          <w:b/>
          <w:sz w:val="22"/>
          <w:szCs w:val="22"/>
        </w:rPr>
        <w:t xml:space="preserve"> </w:t>
      </w:r>
      <w:r w:rsidRPr="0056135A">
        <w:rPr>
          <w:b/>
          <w:sz w:val="22"/>
          <w:szCs w:val="22"/>
        </w:rPr>
        <w:t>PROSPECT.</w:t>
      </w:r>
    </w:p>
    <w:p w:rsidR="0056135A" w:rsidRPr="001E69F2" w:rsidRDefault="0056135A">
      <w:pPr>
        <w:jc w:val="both"/>
        <w:rPr>
          <w:sz w:val="22"/>
          <w:szCs w:val="22"/>
        </w:rPr>
      </w:pPr>
    </w:p>
    <w:p w:rsidR="00D60F30" w:rsidRPr="00011C4E" w:rsidRDefault="00011C4E">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sz w:val="22"/>
          <w:szCs w:val="22"/>
        </w:rPr>
      </w:pPr>
      <w:bookmarkStart w:id="32" w:name="_Toc5010056"/>
      <w:bookmarkStart w:id="33" w:name="bookmark20"/>
      <w:r>
        <w:rPr>
          <w:rFonts w:ascii="Times New Roman" w:hAnsi="Times New Roman" w:cs="Times New Roman"/>
          <w:i/>
          <w:color w:val="auto"/>
        </w:rPr>
        <w:t xml:space="preserve">2.2.1. </w:t>
      </w:r>
      <w:r w:rsidRPr="00011C4E">
        <w:rPr>
          <w:rFonts w:ascii="Times New Roman" w:hAnsi="Times New Roman" w:cs="Times New Roman"/>
          <w:i/>
          <w:color w:val="auto"/>
        </w:rPr>
        <w:t>Concept note content</w:t>
      </w:r>
      <w:bookmarkEnd w:id="32"/>
    </w:p>
    <w:p w:rsidR="009F1C23" w:rsidRDefault="009F1C23">
      <w:pPr>
        <w:rPr>
          <w:sz w:val="22"/>
          <w:szCs w:val="22"/>
        </w:rPr>
      </w:pPr>
    </w:p>
    <w:bookmarkEnd w:id="33"/>
    <w:p w:rsidR="000B5BFC" w:rsidRDefault="00764274">
      <w:pPr>
        <w:jc w:val="both"/>
        <w:rPr>
          <w:sz w:val="22"/>
          <w:szCs w:val="22"/>
        </w:rPr>
      </w:pPr>
      <w:r w:rsidRPr="0056135A">
        <w:rPr>
          <w:sz w:val="22"/>
          <w:szCs w:val="22"/>
        </w:rPr>
        <w:t>Applications must be submitted in accordance with the concept note instructions in the grant application form annexed to these guidelines (Annex A).</w:t>
      </w:r>
    </w:p>
    <w:p w:rsidR="00D60F30" w:rsidRPr="0056135A" w:rsidRDefault="00D60F30">
      <w:pPr>
        <w:jc w:val="both"/>
        <w:rPr>
          <w:sz w:val="22"/>
          <w:szCs w:val="22"/>
        </w:rPr>
      </w:pPr>
    </w:p>
    <w:p w:rsidR="00D60F30" w:rsidRDefault="00764274">
      <w:pPr>
        <w:jc w:val="both"/>
        <w:rPr>
          <w:sz w:val="22"/>
          <w:szCs w:val="22"/>
        </w:rPr>
      </w:pPr>
      <w:r w:rsidRPr="0056135A">
        <w:rPr>
          <w:sz w:val="22"/>
          <w:szCs w:val="22"/>
        </w:rPr>
        <w:t xml:space="preserve">Applicants must apply in English. </w:t>
      </w:r>
    </w:p>
    <w:p w:rsidR="00D60F30" w:rsidRDefault="00D60F30">
      <w:pPr>
        <w:jc w:val="both"/>
        <w:rPr>
          <w:sz w:val="22"/>
          <w:szCs w:val="22"/>
        </w:rPr>
      </w:pPr>
    </w:p>
    <w:p w:rsidR="000B5BFC" w:rsidRDefault="00764274">
      <w:pPr>
        <w:jc w:val="both"/>
        <w:rPr>
          <w:sz w:val="22"/>
          <w:szCs w:val="22"/>
        </w:rPr>
      </w:pPr>
      <w:r w:rsidRPr="0056135A">
        <w:rPr>
          <w:sz w:val="22"/>
          <w:szCs w:val="22"/>
        </w:rPr>
        <w:t>Please note that:</w:t>
      </w:r>
    </w:p>
    <w:p w:rsidR="009F1C23" w:rsidRDefault="009F1C23">
      <w:pPr>
        <w:jc w:val="both"/>
        <w:rPr>
          <w:sz w:val="22"/>
          <w:szCs w:val="22"/>
        </w:rPr>
      </w:pPr>
    </w:p>
    <w:p w:rsidR="000B5BFC" w:rsidRPr="009F1C23" w:rsidRDefault="00764274">
      <w:pPr>
        <w:jc w:val="both"/>
        <w:rPr>
          <w:sz w:val="22"/>
          <w:szCs w:val="22"/>
        </w:rPr>
      </w:pPr>
      <w:r w:rsidRPr="009F1C23">
        <w:rPr>
          <w:sz w:val="22"/>
          <w:szCs w:val="22"/>
        </w:rPr>
        <w:t>1. In the concept note, lead applicants must only provide an estimate of the requested EU contribution as well as an indicative percentage of that contribution in relation to the eligible costs of the action.</w:t>
      </w:r>
    </w:p>
    <w:p w:rsidR="009F1C23" w:rsidRPr="009F1C23" w:rsidRDefault="009F1C23">
      <w:pPr>
        <w:jc w:val="both"/>
        <w:rPr>
          <w:sz w:val="22"/>
          <w:szCs w:val="22"/>
        </w:rPr>
      </w:pPr>
    </w:p>
    <w:p w:rsidR="00D60F30" w:rsidRPr="009F1C23" w:rsidRDefault="00D60F30">
      <w:pPr>
        <w:jc w:val="both"/>
        <w:rPr>
          <w:sz w:val="22"/>
          <w:szCs w:val="22"/>
        </w:rPr>
      </w:pPr>
      <w:r w:rsidRPr="009F1C23">
        <w:rPr>
          <w:sz w:val="22"/>
          <w:szCs w:val="22"/>
        </w:rPr>
        <w:t>A detailed budget is to be submitted only by the lead applicants invited to submit a full application in</w:t>
      </w:r>
      <w:r w:rsidR="0085579B">
        <w:rPr>
          <w:sz w:val="22"/>
          <w:szCs w:val="22"/>
        </w:rPr>
        <w:t xml:space="preserve"> </w:t>
      </w:r>
      <w:r w:rsidRPr="009F1C23">
        <w:rPr>
          <w:sz w:val="22"/>
          <w:szCs w:val="22"/>
        </w:rPr>
        <w:t>the second phase.</w:t>
      </w:r>
    </w:p>
    <w:p w:rsidR="00D60F30" w:rsidRPr="009F1C23" w:rsidRDefault="00D60F30">
      <w:pPr>
        <w:jc w:val="both"/>
        <w:rPr>
          <w:sz w:val="22"/>
          <w:szCs w:val="22"/>
        </w:rPr>
      </w:pPr>
    </w:p>
    <w:p w:rsidR="000B5BFC" w:rsidRPr="009F1C23" w:rsidRDefault="00D60F30">
      <w:pPr>
        <w:jc w:val="both"/>
        <w:rPr>
          <w:sz w:val="22"/>
          <w:szCs w:val="22"/>
        </w:rPr>
      </w:pPr>
      <w:r w:rsidRPr="009F1C23">
        <w:rPr>
          <w:sz w:val="22"/>
          <w:szCs w:val="22"/>
        </w:rPr>
        <w:t xml:space="preserve">2. The elements outlined in the concept note may not be modified in the full application. The EU </w:t>
      </w:r>
      <w:r w:rsidR="00764274" w:rsidRPr="009F1C23">
        <w:rPr>
          <w:sz w:val="22"/>
          <w:szCs w:val="22"/>
        </w:rPr>
        <w:t>contribution may not vary from the initial estimate by more than 20%. Lead applicants are free to adapt the percentage of co-financing required within the minimum and maximum amount and percentages of co-financing, as laid down in these guidelines in Section 1.3. The lead applicant may replace a co-applicant or an affiliated entity only in duly justified cases (e.g. bankruptcy of initial co</w:t>
      </w:r>
      <w:r w:rsidRPr="009F1C23">
        <w:rPr>
          <w:sz w:val="22"/>
          <w:szCs w:val="22"/>
        </w:rPr>
        <w:t>-</w:t>
      </w:r>
      <w:r w:rsidR="00764274" w:rsidRPr="009F1C23">
        <w:rPr>
          <w:sz w:val="22"/>
          <w:szCs w:val="22"/>
        </w:rPr>
        <w:softHyphen/>
        <w:t xml:space="preserve">applicant or affiliated entity). In this case the new co-applicant/affiliated entity must be of a similar nature as the initial one. The lead applicant may adjust the duration of the action if unforeseen circumstances outside the scope of the applicants have taken place following the </w:t>
      </w:r>
      <w:r w:rsidR="00226249" w:rsidRPr="009F1C23">
        <w:rPr>
          <w:sz w:val="22"/>
          <w:szCs w:val="22"/>
        </w:rPr>
        <w:t>submission of the concept note and require such adaptation (risk of action not being carried out). In such cases the duration must remain within the limits imposed by the guidelines for applicants. An explanation/justification of the relevant replacement/adjustment shall be included in an accompanying letter or email.</w:t>
      </w:r>
    </w:p>
    <w:p w:rsidR="00226249" w:rsidRPr="009F1C23" w:rsidRDefault="00226249">
      <w:pPr>
        <w:jc w:val="both"/>
        <w:rPr>
          <w:sz w:val="22"/>
          <w:szCs w:val="22"/>
        </w:rPr>
      </w:pPr>
    </w:p>
    <w:p w:rsidR="00226249" w:rsidRPr="009F1C23" w:rsidRDefault="00226249">
      <w:pPr>
        <w:jc w:val="both"/>
        <w:rPr>
          <w:sz w:val="22"/>
          <w:szCs w:val="22"/>
        </w:rPr>
      </w:pPr>
      <w:r w:rsidRPr="009F1C23">
        <w:rPr>
          <w:sz w:val="22"/>
          <w:szCs w:val="22"/>
        </w:rPr>
        <w:t>Own contributions by the applicants can be replaced by other donors' contributions at any time.</w:t>
      </w:r>
    </w:p>
    <w:p w:rsidR="00226249" w:rsidRPr="009F1C23" w:rsidRDefault="00226249">
      <w:pPr>
        <w:jc w:val="both"/>
        <w:rPr>
          <w:sz w:val="22"/>
          <w:szCs w:val="22"/>
        </w:rPr>
      </w:pPr>
    </w:p>
    <w:p w:rsidR="00226249" w:rsidRPr="009F1C23" w:rsidRDefault="00226249">
      <w:pPr>
        <w:jc w:val="both"/>
        <w:rPr>
          <w:sz w:val="22"/>
          <w:szCs w:val="22"/>
        </w:rPr>
      </w:pPr>
      <w:r w:rsidRPr="009F1C23">
        <w:rPr>
          <w:sz w:val="22"/>
          <w:szCs w:val="22"/>
        </w:rPr>
        <w:t>3.</w:t>
      </w:r>
      <w:r w:rsidR="006C0427">
        <w:rPr>
          <w:sz w:val="22"/>
          <w:szCs w:val="22"/>
        </w:rPr>
        <w:t xml:space="preserve"> </w:t>
      </w:r>
      <w:r w:rsidRPr="009F1C23">
        <w:rPr>
          <w:sz w:val="22"/>
          <w:szCs w:val="22"/>
        </w:rPr>
        <w:t>Only the concept note form will be evaluated. It is therefore of utmost importance that this document</w:t>
      </w:r>
      <w:r w:rsidR="006C0427">
        <w:rPr>
          <w:sz w:val="22"/>
          <w:szCs w:val="22"/>
        </w:rPr>
        <w:t xml:space="preserve"> </w:t>
      </w:r>
      <w:r w:rsidRPr="009F1C23">
        <w:rPr>
          <w:sz w:val="22"/>
          <w:szCs w:val="22"/>
        </w:rPr>
        <w:t>contains ALL relevant information concerning the action. No additional annexes should be sent.</w:t>
      </w:r>
    </w:p>
    <w:p w:rsidR="00226249" w:rsidRPr="009F1C23" w:rsidRDefault="00226249">
      <w:pPr>
        <w:jc w:val="both"/>
        <w:rPr>
          <w:sz w:val="22"/>
          <w:szCs w:val="22"/>
        </w:rPr>
      </w:pPr>
    </w:p>
    <w:p w:rsidR="00226249" w:rsidRPr="009F1C23" w:rsidRDefault="00226249">
      <w:pPr>
        <w:jc w:val="both"/>
        <w:rPr>
          <w:sz w:val="22"/>
          <w:szCs w:val="22"/>
        </w:rPr>
      </w:pPr>
      <w:r w:rsidRPr="009F1C23">
        <w:rPr>
          <w:sz w:val="22"/>
          <w:szCs w:val="22"/>
        </w:rPr>
        <w:t>Any error or major discrepancy related to the concept note instructions may lead to the rejection of the concept note.</w:t>
      </w:r>
    </w:p>
    <w:p w:rsidR="00226249" w:rsidRPr="009F1C23" w:rsidRDefault="00226249">
      <w:pPr>
        <w:jc w:val="both"/>
        <w:rPr>
          <w:sz w:val="22"/>
          <w:szCs w:val="22"/>
        </w:rPr>
      </w:pPr>
    </w:p>
    <w:p w:rsidR="00226249" w:rsidRDefault="00226249">
      <w:pPr>
        <w:jc w:val="both"/>
        <w:rPr>
          <w:sz w:val="22"/>
          <w:szCs w:val="22"/>
        </w:rPr>
      </w:pPr>
      <w:r w:rsidRPr="009F1C23">
        <w:rPr>
          <w:sz w:val="22"/>
          <w:szCs w:val="22"/>
        </w:rPr>
        <w:t>Clarifications will only be requested when information provided is not sufficient to conduct an objective assessment</w:t>
      </w:r>
      <w:r w:rsidR="004E2242" w:rsidRPr="009F1C23">
        <w:rPr>
          <w:sz w:val="22"/>
          <w:szCs w:val="22"/>
        </w:rPr>
        <w:t>.</w:t>
      </w:r>
    </w:p>
    <w:p w:rsidR="001A23A8" w:rsidRPr="009F1C23" w:rsidRDefault="001A23A8">
      <w:pPr>
        <w:jc w:val="both"/>
        <w:rPr>
          <w:sz w:val="22"/>
          <w:szCs w:val="22"/>
        </w:rPr>
      </w:pPr>
    </w:p>
    <w:p w:rsidR="004E2242" w:rsidRDefault="004E2242">
      <w:pPr>
        <w:jc w:val="both"/>
        <w:rPr>
          <w:sz w:val="22"/>
          <w:szCs w:val="22"/>
        </w:rPr>
      </w:pPr>
      <w:r w:rsidRPr="009F1C23">
        <w:rPr>
          <w:sz w:val="22"/>
          <w:szCs w:val="22"/>
        </w:rPr>
        <w:t>Hand-written concept notes will not be accepted.</w:t>
      </w:r>
    </w:p>
    <w:p w:rsidR="000741F0" w:rsidRPr="009F1C23" w:rsidRDefault="000741F0">
      <w:pPr>
        <w:jc w:val="both"/>
        <w:rPr>
          <w:sz w:val="22"/>
          <w:szCs w:val="22"/>
        </w:rPr>
      </w:pPr>
    </w:p>
    <w:p w:rsidR="004E2242" w:rsidRPr="000741F0" w:rsidRDefault="000741F0">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sz w:val="22"/>
          <w:szCs w:val="22"/>
        </w:rPr>
      </w:pPr>
      <w:bookmarkStart w:id="34" w:name="_Toc5010057"/>
      <w:r>
        <w:rPr>
          <w:rFonts w:ascii="Times New Roman" w:hAnsi="Times New Roman" w:cs="Times New Roman"/>
          <w:i/>
          <w:color w:val="auto"/>
        </w:rPr>
        <w:t xml:space="preserve">2.2.2 </w:t>
      </w:r>
      <w:r w:rsidRPr="000741F0">
        <w:rPr>
          <w:rFonts w:ascii="Times New Roman" w:hAnsi="Times New Roman" w:cs="Times New Roman"/>
          <w:i/>
          <w:color w:val="auto"/>
        </w:rPr>
        <w:t>Where and how to send concept notes</w:t>
      </w:r>
      <w:bookmarkEnd w:id="34"/>
    </w:p>
    <w:p w:rsidR="000B5BFC" w:rsidRDefault="000B5BFC">
      <w:pPr>
        <w:jc w:val="both"/>
      </w:pPr>
    </w:p>
    <w:p w:rsidR="008D60A8" w:rsidRPr="009F1C23" w:rsidRDefault="008D60A8">
      <w:pPr>
        <w:jc w:val="both"/>
        <w:rPr>
          <w:sz w:val="22"/>
          <w:szCs w:val="22"/>
        </w:rPr>
      </w:pPr>
      <w:r w:rsidRPr="009F1C23">
        <w:rPr>
          <w:sz w:val="22"/>
          <w:szCs w:val="22"/>
        </w:rPr>
        <w:t>The concept note together with the declaration by the lead applicant (Annex A.1 section 2) must be submitted online via PROSPECT:</w:t>
      </w:r>
      <w:r w:rsidR="001A23A8">
        <w:rPr>
          <w:sz w:val="22"/>
          <w:szCs w:val="22"/>
        </w:rPr>
        <w:t xml:space="preserve"> </w:t>
      </w:r>
      <w:hyperlink r:id="rId18" w:history="1">
        <w:r w:rsidRPr="009F1C23">
          <w:rPr>
            <w:rStyle w:val="Hyperlink"/>
            <w:sz w:val="22"/>
            <w:szCs w:val="22"/>
          </w:rPr>
          <w:t>https://webgate.ec.europa.eu/europeaid/prospect</w:t>
        </w:r>
      </w:hyperlink>
      <w:r w:rsidR="001A23A8">
        <w:rPr>
          <w:sz w:val="22"/>
          <w:szCs w:val="22"/>
        </w:rPr>
        <w:t xml:space="preserve"> </w:t>
      </w:r>
      <w:r w:rsidRPr="009F1C23">
        <w:rPr>
          <w:sz w:val="22"/>
          <w:szCs w:val="22"/>
        </w:rPr>
        <w:t>following the instructions given in the PROSPECT user manual.</w:t>
      </w:r>
    </w:p>
    <w:p w:rsidR="008D60A8" w:rsidRPr="009F1C23" w:rsidRDefault="008D60A8">
      <w:pPr>
        <w:jc w:val="both"/>
        <w:rPr>
          <w:sz w:val="22"/>
          <w:szCs w:val="22"/>
        </w:rPr>
      </w:pPr>
    </w:p>
    <w:p w:rsidR="008D60A8" w:rsidRPr="009F1C23" w:rsidRDefault="008D60A8">
      <w:pPr>
        <w:jc w:val="both"/>
        <w:rPr>
          <w:sz w:val="22"/>
          <w:szCs w:val="22"/>
        </w:rPr>
      </w:pPr>
      <w:r w:rsidRPr="009F1C23">
        <w:rPr>
          <w:sz w:val="22"/>
          <w:szCs w:val="22"/>
        </w:rPr>
        <w:t xml:space="preserve">Upon submission of a concept note online, the lead applicant will receive an automatic confirmation of receipt in its PROSPECT profile. </w:t>
      </w:r>
    </w:p>
    <w:p w:rsidR="008D60A8" w:rsidRDefault="008D60A8">
      <w:pPr>
        <w:jc w:val="both"/>
      </w:pPr>
    </w:p>
    <w:p w:rsidR="008D60A8" w:rsidRPr="009F1C23" w:rsidRDefault="008D60A8">
      <w:pPr>
        <w:jc w:val="both"/>
        <w:rPr>
          <w:sz w:val="22"/>
          <w:szCs w:val="22"/>
        </w:rPr>
      </w:pPr>
      <w:r>
        <w:t xml:space="preserve">If it is impossible for lead applicants to submit their concept note online via PROSPECT for </w:t>
      </w:r>
      <w:r w:rsidRPr="009F1C23">
        <w:rPr>
          <w:sz w:val="22"/>
          <w:szCs w:val="22"/>
        </w:rPr>
        <w:t>technical reasons, they must send their proposal in a sealed envelope and attach the concept note together with the declaration by the lead applicant (</w:t>
      </w:r>
      <w:r w:rsidRPr="009F1C23">
        <w:rPr>
          <w:b/>
          <w:sz w:val="22"/>
          <w:szCs w:val="22"/>
        </w:rPr>
        <w:t>Annex A.1section 2</w:t>
      </w:r>
      <w:r w:rsidRPr="009F1C23">
        <w:rPr>
          <w:sz w:val="22"/>
          <w:szCs w:val="22"/>
        </w:rPr>
        <w:t>). In particular, the lead applicant must send, in a sealed envelope as described below the following items:</w:t>
      </w:r>
    </w:p>
    <w:p w:rsidR="008D60A8" w:rsidRPr="009F1C23" w:rsidRDefault="008D60A8">
      <w:pPr>
        <w:jc w:val="both"/>
        <w:rPr>
          <w:sz w:val="22"/>
          <w:szCs w:val="22"/>
        </w:rPr>
      </w:pPr>
    </w:p>
    <w:p w:rsidR="008D60A8" w:rsidRPr="006C0427" w:rsidRDefault="008D60A8">
      <w:pPr>
        <w:pStyle w:val="ListParagraph"/>
        <w:numPr>
          <w:ilvl w:val="0"/>
          <w:numId w:val="46"/>
        </w:numPr>
        <w:jc w:val="both"/>
        <w:rPr>
          <w:sz w:val="22"/>
          <w:szCs w:val="22"/>
        </w:rPr>
      </w:pPr>
      <w:r w:rsidRPr="006C0427">
        <w:rPr>
          <w:sz w:val="22"/>
          <w:szCs w:val="22"/>
        </w:rPr>
        <w:t>One original of the concept note. The signed declaration by the</w:t>
      </w:r>
      <w:r w:rsidR="006C0427">
        <w:rPr>
          <w:sz w:val="22"/>
          <w:szCs w:val="22"/>
        </w:rPr>
        <w:t xml:space="preserve"> </w:t>
      </w:r>
      <w:r w:rsidRPr="006C0427">
        <w:rPr>
          <w:sz w:val="22"/>
          <w:szCs w:val="22"/>
        </w:rPr>
        <w:t>lead applicant (Annex A.1 section 2) must be printed and stapled separately and enclosed in the envelope</w:t>
      </w:r>
      <w:r w:rsidR="00B371E6" w:rsidRPr="006C0427">
        <w:rPr>
          <w:sz w:val="22"/>
          <w:szCs w:val="22"/>
        </w:rPr>
        <w:t>.</w:t>
      </w:r>
    </w:p>
    <w:p w:rsidR="00B371E6" w:rsidRPr="009F1C23" w:rsidRDefault="00B371E6">
      <w:pPr>
        <w:ind w:firstLine="720"/>
        <w:jc w:val="both"/>
        <w:rPr>
          <w:sz w:val="22"/>
          <w:szCs w:val="22"/>
        </w:rPr>
      </w:pPr>
    </w:p>
    <w:p w:rsidR="008D60A8" w:rsidRPr="009F1C23" w:rsidRDefault="008D60A8">
      <w:pPr>
        <w:ind w:firstLine="720"/>
        <w:jc w:val="both"/>
        <w:rPr>
          <w:sz w:val="22"/>
          <w:szCs w:val="22"/>
        </w:rPr>
      </w:pPr>
      <w:r w:rsidRPr="009F1C23">
        <w:rPr>
          <w:sz w:val="22"/>
          <w:szCs w:val="22"/>
        </w:rPr>
        <w:t xml:space="preserve">b. Two additional copies in A4 size, each bound. </w:t>
      </w:r>
    </w:p>
    <w:p w:rsidR="002D1058" w:rsidRPr="009F1C23" w:rsidRDefault="002D1058">
      <w:pPr>
        <w:ind w:firstLine="720"/>
        <w:jc w:val="both"/>
        <w:rPr>
          <w:sz w:val="22"/>
          <w:szCs w:val="22"/>
        </w:rPr>
      </w:pPr>
    </w:p>
    <w:p w:rsidR="004E2242" w:rsidRPr="009F1C23" w:rsidRDefault="008D60A8">
      <w:pPr>
        <w:ind w:left="720"/>
        <w:jc w:val="both"/>
        <w:rPr>
          <w:sz w:val="22"/>
          <w:szCs w:val="22"/>
        </w:rPr>
      </w:pPr>
      <w:r w:rsidRPr="009F1C23">
        <w:rPr>
          <w:sz w:val="22"/>
          <w:szCs w:val="22"/>
        </w:rPr>
        <w:t xml:space="preserve">c. An electronic </w:t>
      </w:r>
      <w:r w:rsidR="002D1058" w:rsidRPr="009F1C23">
        <w:rPr>
          <w:sz w:val="22"/>
          <w:szCs w:val="22"/>
        </w:rPr>
        <w:t>version (</w:t>
      </w:r>
      <w:r w:rsidRPr="009F1C23">
        <w:rPr>
          <w:sz w:val="22"/>
          <w:szCs w:val="22"/>
        </w:rPr>
        <w:t>e.g</w:t>
      </w:r>
      <w:r w:rsidR="00B371E6" w:rsidRPr="009F1C23">
        <w:rPr>
          <w:sz w:val="22"/>
          <w:szCs w:val="22"/>
        </w:rPr>
        <w:t>.</w:t>
      </w:r>
      <w:r w:rsidRPr="009F1C23">
        <w:rPr>
          <w:sz w:val="22"/>
          <w:szCs w:val="22"/>
        </w:rPr>
        <w:t xml:space="preserve">CD-Rom) of the items under point (a). The electronic file must contain </w:t>
      </w:r>
      <w:r w:rsidRPr="009F1C23">
        <w:rPr>
          <w:b/>
          <w:sz w:val="22"/>
          <w:szCs w:val="22"/>
        </w:rPr>
        <w:t>exactly the same</w:t>
      </w:r>
      <w:r w:rsidRPr="009F1C23">
        <w:rPr>
          <w:sz w:val="22"/>
          <w:szCs w:val="22"/>
        </w:rPr>
        <w:t xml:space="preserve"> application as the paper version enclosed.</w:t>
      </w:r>
    </w:p>
    <w:p w:rsidR="004E2242" w:rsidRPr="009F1C23" w:rsidRDefault="004E2242">
      <w:pPr>
        <w:rPr>
          <w:sz w:val="22"/>
          <w:szCs w:val="22"/>
        </w:rPr>
      </w:pPr>
    </w:p>
    <w:p w:rsidR="000B5BFC" w:rsidRPr="004E2242" w:rsidRDefault="00764274" w:rsidP="007C2B43">
      <w:pPr>
        <w:pStyle w:val="Bodytext21"/>
        <w:shd w:val="clear" w:color="auto" w:fill="auto"/>
        <w:spacing w:before="0" w:after="196" w:line="240" w:lineRule="auto"/>
        <w:ind w:firstLine="0"/>
      </w:pPr>
      <w:r w:rsidRPr="004E2242">
        <w:t xml:space="preserve">The envelope must bear the </w:t>
      </w:r>
      <w:r w:rsidRPr="004E2242">
        <w:rPr>
          <w:rStyle w:val="Bodytext2Bold1"/>
        </w:rPr>
        <w:t>reference number and the title of the call for proposals</w:t>
      </w:r>
      <w:r w:rsidRPr="004E2242">
        <w:t>, together with the lot number and title</w:t>
      </w:r>
      <w:r w:rsidR="004E2242">
        <w:t>,</w:t>
      </w:r>
      <w:r w:rsidRPr="004E2242">
        <w:t xml:space="preserve"> the full name and address of the lead applicant, and the words ‘Not to be opened before the opening session’ and </w:t>
      </w:r>
      <w:r w:rsidR="004E2242" w:rsidRPr="00694FB1">
        <w:t>‘</w:t>
      </w:r>
      <w:proofErr w:type="spellStart"/>
      <w:r w:rsidR="004E2242" w:rsidRPr="00694FB1">
        <w:rPr>
          <w:rFonts w:ascii="Nyala" w:hAnsi="Nyala"/>
        </w:rPr>
        <w:t>ከጨረታ</w:t>
      </w:r>
      <w:proofErr w:type="spellEnd"/>
      <w:r w:rsidR="006C0427">
        <w:rPr>
          <w:rFonts w:ascii="Nyala" w:hAnsi="Nyala"/>
        </w:rPr>
        <w:t xml:space="preserve"> </w:t>
      </w:r>
      <w:proofErr w:type="spellStart"/>
      <w:r w:rsidR="004E2242" w:rsidRPr="00694FB1">
        <w:rPr>
          <w:rFonts w:ascii="Nyala" w:hAnsi="Nyala"/>
        </w:rPr>
        <w:t>ሰዓት</w:t>
      </w:r>
      <w:proofErr w:type="spellEnd"/>
      <w:r w:rsidR="006C0427">
        <w:rPr>
          <w:rFonts w:ascii="Nyala" w:hAnsi="Nyala"/>
        </w:rPr>
        <w:t xml:space="preserve"> </w:t>
      </w:r>
      <w:proofErr w:type="spellStart"/>
      <w:r w:rsidR="004E2242" w:rsidRPr="00694FB1">
        <w:rPr>
          <w:rFonts w:ascii="Nyala" w:hAnsi="Nyala"/>
        </w:rPr>
        <w:t>በፊት</w:t>
      </w:r>
      <w:proofErr w:type="spellEnd"/>
      <w:r w:rsidR="006C0427">
        <w:rPr>
          <w:rFonts w:ascii="Nyala" w:hAnsi="Nyala"/>
        </w:rPr>
        <w:t xml:space="preserve"> </w:t>
      </w:r>
      <w:proofErr w:type="spellStart"/>
      <w:r w:rsidR="004E2242" w:rsidRPr="00694FB1">
        <w:rPr>
          <w:rFonts w:ascii="Nyala" w:hAnsi="Nyala"/>
        </w:rPr>
        <w:t>እንዳይከፈት</w:t>
      </w:r>
      <w:proofErr w:type="spellEnd"/>
      <w:r w:rsidR="004E2242" w:rsidRPr="004E2242">
        <w:rPr>
          <w:i/>
        </w:rPr>
        <w:t>’</w:t>
      </w:r>
      <w:r w:rsidRPr="004E2242">
        <w:rPr>
          <w:rStyle w:val="Bodytext2Italic"/>
        </w:rPr>
        <w:t>.</w:t>
      </w:r>
    </w:p>
    <w:p w:rsidR="000B5BFC" w:rsidRPr="004E2242" w:rsidRDefault="00764274" w:rsidP="007C2B43">
      <w:pPr>
        <w:pStyle w:val="Bodytext21"/>
        <w:shd w:val="clear" w:color="auto" w:fill="auto"/>
        <w:spacing w:before="0" w:after="200" w:line="240" w:lineRule="auto"/>
        <w:ind w:firstLine="0"/>
      </w:pPr>
      <w:r w:rsidRPr="004E2242">
        <w:t>To reduce expense and waste, we strongly recommend that you do not use plastic folders or dividers. Please also use double-sided printing if possible.</w:t>
      </w:r>
    </w:p>
    <w:p w:rsidR="000B5BFC" w:rsidRDefault="00764274" w:rsidP="007C2B43">
      <w:pPr>
        <w:pStyle w:val="Bodytext21"/>
        <w:shd w:val="clear" w:color="auto" w:fill="auto"/>
        <w:spacing w:before="0" w:after="208" w:line="240" w:lineRule="auto"/>
        <w:ind w:firstLine="0"/>
      </w:pPr>
      <w:r w:rsidRPr="004E2242">
        <w:lastRenderedPageBreak/>
        <w:t xml:space="preserve">Concept notes must be submitted in a sealed envelope by registered mail, private courier service or by </w:t>
      </w:r>
      <w:r w:rsidR="00B71447" w:rsidRPr="007869AD">
        <w:rPr>
          <w:lang w:eastAsia="de-DE" w:bidi="de-DE"/>
        </w:rPr>
        <w:t>hand delivery</w:t>
      </w:r>
      <w:r w:rsidRPr="004E2242">
        <w:t xml:space="preserve"> (a signed and dated certificate of receipt will be given to the deliverer) to the address below. Where lead applicants send several concept notes (if allowed to do so by the guidelines of the call), each one must be sent separately:</w:t>
      </w:r>
    </w:p>
    <w:p w:rsidR="00F11180" w:rsidRPr="00F11180" w:rsidRDefault="00F11180" w:rsidP="009763AA">
      <w:pPr>
        <w:widowControl/>
        <w:spacing w:before="120" w:after="120"/>
        <w:ind w:firstLine="720"/>
        <w:jc w:val="both"/>
        <w:rPr>
          <w:b/>
          <w:noProof/>
          <w:color w:val="auto"/>
          <w:sz w:val="22"/>
          <w:szCs w:val="20"/>
          <w:lang w:bidi="ar-SA"/>
        </w:rPr>
      </w:pPr>
      <w:r w:rsidRPr="00F11180">
        <w:rPr>
          <w:b/>
          <w:noProof/>
          <w:color w:val="auto"/>
          <w:sz w:val="22"/>
          <w:szCs w:val="20"/>
          <w:lang w:bidi="ar-SA"/>
        </w:rPr>
        <w:t>Postal address:</w:t>
      </w:r>
    </w:p>
    <w:p w:rsidR="00F11180" w:rsidRPr="00B71447" w:rsidRDefault="00F11180" w:rsidP="009763AA">
      <w:pPr>
        <w:rPr>
          <w:sz w:val="22"/>
          <w:szCs w:val="22"/>
        </w:rPr>
      </w:pPr>
      <w:r>
        <w:rPr>
          <w:lang w:bidi="ar-SA"/>
        </w:rPr>
        <w:tab/>
      </w:r>
      <w:r w:rsidRPr="00B71447">
        <w:rPr>
          <w:sz w:val="22"/>
          <w:szCs w:val="22"/>
        </w:rPr>
        <w:t>Delegation of the European Union to Ethiopia</w:t>
      </w:r>
    </w:p>
    <w:p w:rsidR="00F11180" w:rsidRPr="00B71447" w:rsidRDefault="00F11180" w:rsidP="009763AA">
      <w:pPr>
        <w:rPr>
          <w:sz w:val="22"/>
          <w:szCs w:val="22"/>
        </w:rPr>
      </w:pPr>
      <w:r w:rsidRPr="00B71447">
        <w:rPr>
          <w:sz w:val="22"/>
          <w:szCs w:val="22"/>
        </w:rPr>
        <w:tab/>
        <w:t>Finance, Contract and Audit Section</w:t>
      </w:r>
    </w:p>
    <w:p w:rsidR="00B71447" w:rsidRPr="00B71447" w:rsidRDefault="00F11180" w:rsidP="00480E34">
      <w:pPr>
        <w:rPr>
          <w:sz w:val="22"/>
          <w:szCs w:val="22"/>
        </w:rPr>
      </w:pPr>
      <w:r w:rsidRPr="00B71447">
        <w:rPr>
          <w:sz w:val="22"/>
          <w:szCs w:val="22"/>
        </w:rPr>
        <w:tab/>
        <w:t>Cape-Verde Road</w:t>
      </w:r>
    </w:p>
    <w:p w:rsidR="00F11180" w:rsidRPr="00B71447" w:rsidRDefault="00F11180" w:rsidP="00480E34">
      <w:pPr>
        <w:ind w:firstLine="720"/>
        <w:rPr>
          <w:sz w:val="22"/>
          <w:szCs w:val="22"/>
        </w:rPr>
      </w:pPr>
      <w:r w:rsidRPr="00B71447">
        <w:rPr>
          <w:sz w:val="22"/>
          <w:szCs w:val="22"/>
        </w:rPr>
        <w:t xml:space="preserve">P.O. Box 5570, ADDIS ABABA  </w:t>
      </w:r>
      <w:r w:rsidRPr="00B71447">
        <w:rPr>
          <w:sz w:val="22"/>
          <w:szCs w:val="22"/>
        </w:rPr>
        <w:br/>
      </w:r>
    </w:p>
    <w:p w:rsidR="00F11180" w:rsidRPr="00B71447" w:rsidRDefault="00F11180">
      <w:pPr>
        <w:rPr>
          <w:b/>
          <w:sz w:val="22"/>
          <w:szCs w:val="22"/>
        </w:rPr>
      </w:pPr>
      <w:r w:rsidRPr="00B71447">
        <w:rPr>
          <w:sz w:val="22"/>
          <w:szCs w:val="22"/>
        </w:rPr>
        <w:tab/>
      </w:r>
      <w:r w:rsidRPr="00B71447">
        <w:rPr>
          <w:b/>
          <w:sz w:val="22"/>
          <w:szCs w:val="22"/>
        </w:rPr>
        <w:t>Address for hand delivery or by private courier service</w:t>
      </w:r>
      <w:r w:rsidR="00B71447">
        <w:rPr>
          <w:b/>
          <w:sz w:val="22"/>
          <w:szCs w:val="22"/>
        </w:rPr>
        <w:t>:</w:t>
      </w:r>
    </w:p>
    <w:p w:rsidR="00F11180" w:rsidRPr="00B71447" w:rsidRDefault="00F11180">
      <w:pPr>
        <w:rPr>
          <w:sz w:val="22"/>
          <w:szCs w:val="22"/>
        </w:rPr>
      </w:pPr>
    </w:p>
    <w:p w:rsidR="00F11180" w:rsidRPr="00B71447" w:rsidRDefault="00F11180">
      <w:pPr>
        <w:rPr>
          <w:sz w:val="22"/>
          <w:szCs w:val="22"/>
        </w:rPr>
      </w:pPr>
      <w:r w:rsidRPr="00B71447">
        <w:rPr>
          <w:sz w:val="22"/>
          <w:szCs w:val="22"/>
        </w:rPr>
        <w:tab/>
        <w:t>Delegation of the European Union to Ethiopia</w:t>
      </w:r>
    </w:p>
    <w:p w:rsidR="00F11180" w:rsidRPr="00B71447" w:rsidRDefault="00F11180">
      <w:pPr>
        <w:rPr>
          <w:sz w:val="22"/>
          <w:szCs w:val="22"/>
        </w:rPr>
      </w:pPr>
      <w:r w:rsidRPr="00B71447">
        <w:rPr>
          <w:sz w:val="22"/>
          <w:szCs w:val="22"/>
        </w:rPr>
        <w:tab/>
        <w:t>Finance, Contract and Audit Section</w:t>
      </w:r>
    </w:p>
    <w:p w:rsidR="00F11180" w:rsidRPr="00B71447" w:rsidRDefault="00F11180">
      <w:pPr>
        <w:rPr>
          <w:sz w:val="22"/>
          <w:szCs w:val="22"/>
        </w:rPr>
      </w:pPr>
      <w:r w:rsidRPr="00B71447">
        <w:rPr>
          <w:sz w:val="22"/>
          <w:szCs w:val="22"/>
        </w:rPr>
        <w:tab/>
        <w:t>Cape Verde Street (opposite Desalegn Hotel)</w:t>
      </w:r>
    </w:p>
    <w:p w:rsidR="001A23A8" w:rsidRDefault="00F11180">
      <w:pPr>
        <w:ind w:left="720"/>
        <w:rPr>
          <w:sz w:val="22"/>
          <w:szCs w:val="22"/>
        </w:rPr>
      </w:pPr>
      <w:r w:rsidRPr="00B71447">
        <w:rPr>
          <w:sz w:val="22"/>
          <w:szCs w:val="22"/>
        </w:rPr>
        <w:t>Cape-Verde Road</w:t>
      </w:r>
      <w:r w:rsidRPr="00B71447">
        <w:rPr>
          <w:sz w:val="22"/>
          <w:szCs w:val="22"/>
        </w:rPr>
        <w:br/>
        <w:t xml:space="preserve">P.O. Box 5570, ADDIS ABABA  </w:t>
      </w:r>
    </w:p>
    <w:p w:rsidR="00F11180" w:rsidRPr="00B71447" w:rsidRDefault="001A23A8">
      <w:pPr>
        <w:ind w:left="720"/>
        <w:rPr>
          <w:sz w:val="22"/>
          <w:szCs w:val="22"/>
        </w:rPr>
      </w:pPr>
      <w:r>
        <w:rPr>
          <w:sz w:val="22"/>
          <w:szCs w:val="22"/>
        </w:rPr>
        <w:t>Opening hours Monday to Friday 8:30 am – 12:30 pm and 1:30 pm – 4:30 pm</w:t>
      </w:r>
      <w:r w:rsidR="00F11180" w:rsidRPr="00B71447">
        <w:rPr>
          <w:sz w:val="22"/>
          <w:szCs w:val="22"/>
        </w:rPr>
        <w:br/>
      </w:r>
    </w:p>
    <w:p w:rsidR="000B5BFC" w:rsidRDefault="00764274" w:rsidP="007C2B43">
      <w:pPr>
        <w:pStyle w:val="Bodytext21"/>
        <w:shd w:val="clear" w:color="auto" w:fill="auto"/>
        <w:spacing w:before="0" w:after="200" w:line="240" w:lineRule="auto"/>
        <w:ind w:firstLine="0"/>
      </w:pPr>
      <w:r>
        <w:t>Concept notes sent by any other means (e.g. by fax or by e-mail) or delivered to other addresses will be rejected. Hand-written concept notes will not be accepted.</w:t>
      </w:r>
    </w:p>
    <w:p w:rsidR="000B5BFC" w:rsidRDefault="00764274" w:rsidP="007C2B43">
      <w:pPr>
        <w:pStyle w:val="Bodytext21"/>
        <w:shd w:val="clear" w:color="auto" w:fill="auto"/>
        <w:spacing w:before="0" w:after="411" w:line="240" w:lineRule="auto"/>
        <w:ind w:firstLine="0"/>
      </w:pPr>
      <w:r>
        <w:rPr>
          <w:rStyle w:val="Bodytext2Bold1"/>
        </w:rPr>
        <w:t>Please note that incomplete concept notes may be rejected</w:t>
      </w:r>
      <w:r>
        <w:rPr>
          <w:rStyle w:val="Bodytext2Bold2"/>
        </w:rPr>
        <w:t xml:space="preserve">. </w:t>
      </w:r>
      <w:r>
        <w:t>Lead applicants are advised to verify that their concept note is complete by using the checklist for concept note (Annex A.1, Instructions).</w:t>
      </w:r>
    </w:p>
    <w:p w:rsidR="000B5BFC" w:rsidRPr="000741F0" w:rsidRDefault="000741F0" w:rsidP="009763AA">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35" w:name="bookmark21"/>
      <w:bookmarkStart w:id="36" w:name="_Toc5010058"/>
      <w:r>
        <w:rPr>
          <w:rFonts w:ascii="Times New Roman" w:hAnsi="Times New Roman" w:cs="Times New Roman"/>
          <w:i/>
          <w:color w:val="auto"/>
        </w:rPr>
        <w:t xml:space="preserve">2.2.3. </w:t>
      </w:r>
      <w:r w:rsidR="00764274" w:rsidRPr="000741F0">
        <w:rPr>
          <w:rFonts w:ascii="Times New Roman" w:hAnsi="Times New Roman" w:cs="Times New Roman"/>
          <w:i/>
          <w:color w:val="auto"/>
        </w:rPr>
        <w:t>Deadline for submission of concept notes</w:t>
      </w:r>
      <w:bookmarkEnd w:id="35"/>
      <w:bookmarkEnd w:id="36"/>
    </w:p>
    <w:p w:rsidR="00BD74BA" w:rsidRDefault="00BD74BA" w:rsidP="007C2B43">
      <w:pPr>
        <w:pStyle w:val="Bodytext21"/>
        <w:shd w:val="clear" w:color="auto" w:fill="auto"/>
        <w:spacing w:before="0" w:after="0" w:line="240" w:lineRule="auto"/>
        <w:ind w:firstLine="0"/>
      </w:pPr>
    </w:p>
    <w:p w:rsidR="000B5BFC" w:rsidRPr="00B371E6" w:rsidRDefault="00764274" w:rsidP="007C2B43">
      <w:pPr>
        <w:pStyle w:val="Bodytext21"/>
        <w:shd w:val="clear" w:color="auto" w:fill="auto"/>
        <w:spacing w:before="0" w:after="0" w:line="240" w:lineRule="auto"/>
        <w:ind w:firstLine="0"/>
      </w:pPr>
      <w:r w:rsidRPr="00B371E6">
        <w:t xml:space="preserve">The deadline for the submission of concept notes is </w:t>
      </w:r>
      <w:r w:rsidR="00882861">
        <w:t>May 23</w:t>
      </w:r>
      <w:r w:rsidR="00F673ED">
        <w:t xml:space="preserve">, </w:t>
      </w:r>
      <w:r w:rsidR="00F673ED" w:rsidRPr="00F673ED">
        <w:t>2019</w:t>
      </w:r>
      <w:r w:rsidR="00F11180" w:rsidRPr="00F673ED">
        <w:t xml:space="preserve"> at 15</w:t>
      </w:r>
      <w:r w:rsidR="00F673ED">
        <w:t>:</w:t>
      </w:r>
      <w:r w:rsidR="00F11180" w:rsidRPr="00F673ED">
        <w:t>00hrs</w:t>
      </w:r>
      <w:r w:rsidR="00C31321">
        <w:t xml:space="preserve"> </w:t>
      </w:r>
      <w:r w:rsidRPr="007869AD">
        <w:rPr>
          <w:lang w:eastAsia="nl-NL" w:bidi="nl-NL"/>
        </w:rPr>
        <w:t xml:space="preserve">(Brussels </w:t>
      </w:r>
      <w:r w:rsidRPr="007869AD">
        <w:rPr>
          <w:lang w:eastAsia="fr-FR" w:bidi="fr-FR"/>
        </w:rPr>
        <w:t xml:space="preserve">date and time). In order to convert this deadline to local time you </w:t>
      </w:r>
      <w:r w:rsidRPr="00B371E6">
        <w:t xml:space="preserve">can </w:t>
      </w:r>
      <w:r w:rsidRPr="007869AD">
        <w:rPr>
          <w:lang w:eastAsia="fr-FR" w:bidi="fr-FR"/>
        </w:rPr>
        <w:t xml:space="preserve">use any online time </w:t>
      </w:r>
      <w:r w:rsidRPr="00B371E6">
        <w:t xml:space="preserve">converter tool that takes into account </w:t>
      </w:r>
      <w:r w:rsidR="00B71447" w:rsidRPr="007869AD">
        <w:rPr>
          <w:lang w:eastAsia="da-DK" w:bidi="da-DK"/>
        </w:rPr>
        <w:t>time zones</w:t>
      </w:r>
      <w:r w:rsidR="00C54D4D">
        <w:rPr>
          <w:lang w:eastAsia="da-DK" w:bidi="da-DK"/>
        </w:rPr>
        <w:t xml:space="preserve"> </w:t>
      </w:r>
      <w:r w:rsidRPr="00B371E6">
        <w:t xml:space="preserve">and winter/summer time changes (example available </w:t>
      </w:r>
      <w:r w:rsidRPr="00B371E6">
        <w:rPr>
          <w:rStyle w:val="Bodytext2Bold2"/>
        </w:rPr>
        <w:t>here)</w:t>
      </w:r>
      <w:r w:rsidR="00401706">
        <w:rPr>
          <w:rStyle w:val="Bodytext2Bold2"/>
        </w:rPr>
        <w:t>.</w:t>
      </w:r>
      <w:r w:rsidR="00B371E6" w:rsidRPr="00401706">
        <w:rPr>
          <w:rStyle w:val="FootnoteReference"/>
          <w:b/>
          <w:bCs/>
          <w:sz w:val="18"/>
          <w:szCs w:val="18"/>
        </w:rPr>
        <w:footnoteReference w:id="16"/>
      </w:r>
      <w:r w:rsidR="00016F76">
        <w:rPr>
          <w:rStyle w:val="Bodytext2Bold2"/>
        </w:rPr>
        <w:t xml:space="preserve"> </w:t>
      </w:r>
      <w:r w:rsidRPr="00B371E6">
        <w:rPr>
          <w:rStyle w:val="Bodytext2Bold2"/>
        </w:rPr>
        <w:t xml:space="preserve">The lead applicant is strongly advised not to wait until the last day to submit </w:t>
      </w:r>
      <w:r w:rsidRPr="00B371E6">
        <w:t xml:space="preserve">its concept note, since heavy Internet traffic or a fault with the Internet connection (including electricity failure, etc.) could lead to difficulties in submission. The Contacting Authority cannot be held responsible </w:t>
      </w:r>
      <w:r w:rsidRPr="007869AD">
        <w:rPr>
          <w:lang w:eastAsia="da-DK" w:bidi="da-DK"/>
        </w:rPr>
        <w:t xml:space="preserve">for </w:t>
      </w:r>
      <w:r w:rsidRPr="00B371E6">
        <w:t>any delay due to such afore-mentioned difficulties.</w:t>
      </w:r>
    </w:p>
    <w:p w:rsidR="00882861" w:rsidRDefault="00882861" w:rsidP="009763AA">
      <w:pPr>
        <w:jc w:val="both"/>
        <w:rPr>
          <w:sz w:val="22"/>
          <w:szCs w:val="22"/>
        </w:rPr>
      </w:pPr>
    </w:p>
    <w:p w:rsidR="000B5BFC" w:rsidRPr="00B371E6" w:rsidRDefault="00764274" w:rsidP="009763AA">
      <w:pPr>
        <w:jc w:val="both"/>
        <w:rPr>
          <w:sz w:val="22"/>
          <w:szCs w:val="22"/>
        </w:rPr>
      </w:pPr>
      <w:r w:rsidRPr="00B371E6">
        <w:rPr>
          <w:sz w:val="22"/>
          <w:szCs w:val="22"/>
        </w:rPr>
        <w:t>In the exceptional case of submission by post or by hand delivery (see section 2.2.2), the date of submission is evidenced by the date of dispatch, the postmark or the date of the deposit slip. In the case of hand</w:t>
      </w:r>
      <w:r w:rsidR="00C54D4D">
        <w:rPr>
          <w:sz w:val="22"/>
          <w:szCs w:val="22"/>
        </w:rPr>
        <w:t xml:space="preserve"> </w:t>
      </w:r>
      <w:r w:rsidRPr="00B371E6">
        <w:rPr>
          <w:sz w:val="22"/>
          <w:szCs w:val="22"/>
        </w:rPr>
        <w:softHyphen/>
        <w:t xml:space="preserve">deliveries, the deadline for receipt is at </w:t>
      </w:r>
      <w:r w:rsidR="001A23A8" w:rsidRPr="00FE7AD5">
        <w:rPr>
          <w:sz w:val="22"/>
          <w:szCs w:val="22"/>
        </w:rPr>
        <w:t>1</w:t>
      </w:r>
      <w:r w:rsidR="00882861" w:rsidRPr="00FE7AD5">
        <w:rPr>
          <w:sz w:val="22"/>
          <w:szCs w:val="22"/>
        </w:rPr>
        <w:t>7</w:t>
      </w:r>
      <w:r w:rsidR="001A23A8" w:rsidRPr="00FE7AD5">
        <w:rPr>
          <w:sz w:val="22"/>
          <w:szCs w:val="22"/>
        </w:rPr>
        <w:t>:</w:t>
      </w:r>
      <w:r w:rsidR="00882861" w:rsidRPr="00FE7AD5">
        <w:rPr>
          <w:sz w:val="22"/>
          <w:szCs w:val="22"/>
        </w:rPr>
        <w:t>0</w:t>
      </w:r>
      <w:r w:rsidR="001A23A8" w:rsidRPr="00FE7AD5">
        <w:rPr>
          <w:sz w:val="22"/>
          <w:szCs w:val="22"/>
        </w:rPr>
        <w:t xml:space="preserve">0 </w:t>
      </w:r>
      <w:r w:rsidRPr="00FE7AD5">
        <w:rPr>
          <w:sz w:val="22"/>
          <w:szCs w:val="22"/>
        </w:rPr>
        <w:t>hours</w:t>
      </w:r>
      <w:r w:rsidRPr="00B371E6">
        <w:rPr>
          <w:sz w:val="22"/>
          <w:szCs w:val="22"/>
        </w:rPr>
        <w:t xml:space="preserve"> local time</w:t>
      </w:r>
      <w:r w:rsidR="001F4269" w:rsidRPr="00B371E6">
        <w:rPr>
          <w:rStyle w:val="FootnoteReference"/>
          <w:sz w:val="22"/>
          <w:szCs w:val="22"/>
        </w:rPr>
        <w:footnoteReference w:id="17"/>
      </w:r>
      <w:r w:rsidRPr="00B371E6">
        <w:rPr>
          <w:sz w:val="22"/>
          <w:szCs w:val="22"/>
        </w:rPr>
        <w:t>as evidenced by the signed and dated receipt.</w:t>
      </w:r>
    </w:p>
    <w:p w:rsidR="002D1409" w:rsidRPr="00B371E6" w:rsidRDefault="002D1409" w:rsidP="009763AA">
      <w:pPr>
        <w:jc w:val="both"/>
        <w:rPr>
          <w:sz w:val="22"/>
          <w:szCs w:val="22"/>
        </w:rPr>
      </w:pPr>
    </w:p>
    <w:p w:rsidR="000B5BFC" w:rsidRPr="00B371E6" w:rsidRDefault="00764274" w:rsidP="009763AA">
      <w:pPr>
        <w:jc w:val="both"/>
        <w:rPr>
          <w:sz w:val="22"/>
          <w:szCs w:val="22"/>
        </w:rPr>
      </w:pPr>
      <w:r w:rsidRPr="00B371E6">
        <w:rPr>
          <w:sz w:val="22"/>
          <w:szCs w:val="22"/>
        </w:rPr>
        <w:t>Any concept note submitted after the deadline will be rejected.</w:t>
      </w:r>
    </w:p>
    <w:p w:rsidR="001F4269" w:rsidRPr="00B371E6" w:rsidRDefault="001F4269" w:rsidP="001A23A8">
      <w:pPr>
        <w:jc w:val="both"/>
        <w:rPr>
          <w:sz w:val="22"/>
          <w:szCs w:val="22"/>
        </w:rPr>
      </w:pPr>
    </w:p>
    <w:p w:rsidR="001F4269" w:rsidRDefault="00B371E6" w:rsidP="00480E34">
      <w:r w:rsidRPr="00B371E6">
        <w:rPr>
          <w:color w:val="auto"/>
          <w:sz w:val="22"/>
          <w:szCs w:val="22"/>
          <w:lang w:bidi="ar-SA"/>
        </w:rPr>
        <w:t>However, for reasons of administrative efficiency, t</w:t>
      </w:r>
      <w:r w:rsidRPr="00B371E6">
        <w:rPr>
          <w:color w:val="auto"/>
          <w:sz w:val="22"/>
          <w:szCs w:val="22"/>
          <w:lang w:eastAsia="en-GB" w:bidi="kn-IN"/>
        </w:rPr>
        <w:t xml:space="preserve">he Contracting Authority </w:t>
      </w:r>
      <w:r w:rsidRPr="00B371E6">
        <w:rPr>
          <w:color w:val="auto"/>
          <w:sz w:val="22"/>
          <w:szCs w:val="22"/>
          <w:lang w:bidi="kn-IN"/>
        </w:rPr>
        <w:t>may</w:t>
      </w:r>
      <w:r w:rsidRPr="00B371E6">
        <w:rPr>
          <w:color w:val="auto"/>
          <w:sz w:val="22"/>
          <w:szCs w:val="22"/>
          <w:lang w:eastAsia="en-GB" w:bidi="kn-IN"/>
        </w:rPr>
        <w:t xml:space="preserve"> also reject any </w:t>
      </w:r>
      <w:r w:rsidRPr="00B371E6">
        <w:rPr>
          <w:color w:val="auto"/>
          <w:sz w:val="22"/>
          <w:szCs w:val="22"/>
          <w:lang w:bidi="kn-IN"/>
        </w:rPr>
        <w:t>concept note</w:t>
      </w:r>
      <w:r w:rsidRPr="00B371E6">
        <w:rPr>
          <w:color w:val="auto"/>
          <w:sz w:val="22"/>
          <w:szCs w:val="22"/>
          <w:lang w:eastAsia="en-GB" w:bidi="kn-IN"/>
        </w:rPr>
        <w:t xml:space="preserve"> sent in due time but received after the effective date of </w:t>
      </w:r>
      <w:r w:rsidRPr="00B371E6">
        <w:rPr>
          <w:color w:val="auto"/>
          <w:sz w:val="22"/>
          <w:szCs w:val="22"/>
          <w:lang w:bidi="kn-IN"/>
        </w:rPr>
        <w:t>approval</w:t>
      </w:r>
      <w:r w:rsidRPr="00B371E6">
        <w:rPr>
          <w:color w:val="auto"/>
          <w:sz w:val="22"/>
          <w:szCs w:val="22"/>
          <w:lang w:eastAsia="en-GB" w:bidi="kn-IN"/>
        </w:rPr>
        <w:t xml:space="preserve"> of the</w:t>
      </w:r>
      <w:r w:rsidR="00C54D4D">
        <w:rPr>
          <w:color w:val="auto"/>
          <w:sz w:val="22"/>
          <w:szCs w:val="22"/>
          <w:lang w:eastAsia="en-GB" w:bidi="kn-IN"/>
        </w:rPr>
        <w:t xml:space="preserve"> </w:t>
      </w:r>
      <w:r w:rsidRPr="00B371E6">
        <w:rPr>
          <w:color w:val="auto"/>
          <w:sz w:val="22"/>
          <w:szCs w:val="22"/>
          <w:lang w:bidi="kn-IN"/>
        </w:rPr>
        <w:t>concept note evaluation (see indicative calendar under section 2.5.2).</w:t>
      </w:r>
    </w:p>
    <w:p w:rsidR="00B371E6" w:rsidRPr="002D1409" w:rsidRDefault="00B371E6" w:rsidP="00480E34"/>
    <w:p w:rsidR="000B5BFC" w:rsidRPr="00BD74BA" w:rsidRDefault="00BD74BA">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37" w:name="bookmark22"/>
      <w:bookmarkStart w:id="38" w:name="_Toc5010059"/>
      <w:r>
        <w:rPr>
          <w:rFonts w:ascii="Times New Roman" w:hAnsi="Times New Roman" w:cs="Times New Roman"/>
          <w:i/>
          <w:color w:val="auto"/>
        </w:rPr>
        <w:lastRenderedPageBreak/>
        <w:t xml:space="preserve">2.2.4. </w:t>
      </w:r>
      <w:r w:rsidR="00764274" w:rsidRPr="00BD74BA">
        <w:rPr>
          <w:rFonts w:ascii="Times New Roman" w:hAnsi="Times New Roman" w:cs="Times New Roman"/>
          <w:i/>
          <w:color w:val="auto"/>
        </w:rPr>
        <w:t>Further information about concept notes</w:t>
      </w:r>
      <w:bookmarkEnd w:id="37"/>
      <w:bookmarkEnd w:id="38"/>
    </w:p>
    <w:p w:rsidR="00983F26" w:rsidRDefault="00983F26" w:rsidP="007C2B43">
      <w:pPr>
        <w:pStyle w:val="Bodytext21"/>
        <w:shd w:val="clear" w:color="auto" w:fill="auto"/>
        <w:spacing w:before="0" w:after="0" w:line="240" w:lineRule="auto"/>
        <w:ind w:firstLine="0"/>
      </w:pPr>
    </w:p>
    <w:p w:rsidR="000B5BFC" w:rsidRPr="000A13FD" w:rsidRDefault="00764274" w:rsidP="007C2B43">
      <w:pPr>
        <w:pStyle w:val="Bodytext21"/>
        <w:shd w:val="clear" w:color="auto" w:fill="auto"/>
        <w:spacing w:before="0" w:after="0" w:line="240" w:lineRule="auto"/>
        <w:ind w:firstLine="0"/>
      </w:pPr>
      <w:r w:rsidRPr="000A13FD">
        <w:t>A</w:t>
      </w:r>
      <w:r w:rsidR="00C65E49" w:rsidRPr="000A13FD">
        <w:t xml:space="preserve"> central</w:t>
      </w:r>
      <w:r w:rsidR="00C54D4D" w:rsidRPr="000A13FD">
        <w:t xml:space="preserve"> </w:t>
      </w:r>
      <w:r w:rsidRPr="000A13FD">
        <w:t xml:space="preserve">information session on this call for proposals will be held on </w:t>
      </w:r>
      <w:r w:rsidR="00FE7AD5" w:rsidRPr="000A13FD">
        <w:t xml:space="preserve">April 11, 2019 at 13:00 hours at </w:t>
      </w:r>
      <w:proofErr w:type="spellStart"/>
      <w:r w:rsidR="00FE7AD5" w:rsidRPr="000A13FD">
        <w:t>Saphire</w:t>
      </w:r>
      <w:proofErr w:type="spellEnd"/>
      <w:r w:rsidR="00FE7AD5" w:rsidRPr="000A13FD">
        <w:t xml:space="preserve"> Addis Hotel, Addis Ababa. In</w:t>
      </w:r>
      <w:r w:rsidR="00E24A09" w:rsidRPr="000A13FD">
        <w:t xml:space="preserve"> addition, the following Regional Information Sessions will be held:</w:t>
      </w:r>
    </w:p>
    <w:p w:rsidR="00E24A09" w:rsidRPr="000A13FD" w:rsidRDefault="00E24A09" w:rsidP="007C2B43">
      <w:pPr>
        <w:pStyle w:val="Bodytext21"/>
        <w:shd w:val="clear" w:color="auto" w:fill="auto"/>
        <w:spacing w:before="0" w:after="224" w:line="240" w:lineRule="auto"/>
        <w:ind w:left="720" w:firstLine="0"/>
      </w:pPr>
      <w:r w:rsidRPr="000A13FD">
        <w:t>a</w:t>
      </w:r>
      <w:r w:rsidR="00FE7AD5" w:rsidRPr="000A13FD">
        <w:t>. April 12</w:t>
      </w:r>
      <w:r w:rsidR="000A13FD" w:rsidRPr="000A13FD">
        <w:t>, 2019</w:t>
      </w:r>
      <w:r w:rsidR="00FE7AD5" w:rsidRPr="000A13FD">
        <w:t xml:space="preserve"> </w:t>
      </w:r>
      <w:r w:rsidR="000A13FD" w:rsidRPr="000A13FD">
        <w:t>- Bahir</w:t>
      </w:r>
      <w:r w:rsidR="00FE7AD5" w:rsidRPr="000A13FD">
        <w:t xml:space="preserve"> Dar and Mekelle</w:t>
      </w:r>
    </w:p>
    <w:p w:rsidR="00E24A09" w:rsidRPr="000A13FD" w:rsidRDefault="00E24A09" w:rsidP="007C2B43">
      <w:pPr>
        <w:pStyle w:val="Bodytext21"/>
        <w:shd w:val="clear" w:color="auto" w:fill="auto"/>
        <w:spacing w:before="0" w:after="224" w:line="240" w:lineRule="auto"/>
        <w:ind w:left="720" w:firstLine="0"/>
      </w:pPr>
      <w:r w:rsidRPr="000A13FD">
        <w:t xml:space="preserve">b. </w:t>
      </w:r>
      <w:r w:rsidR="00FE7AD5" w:rsidRPr="000A13FD">
        <w:t xml:space="preserve">April 15, 2019 – </w:t>
      </w:r>
      <w:proofErr w:type="spellStart"/>
      <w:r w:rsidR="00FE7AD5" w:rsidRPr="000A13FD">
        <w:t>Gambella</w:t>
      </w:r>
      <w:proofErr w:type="spellEnd"/>
      <w:r w:rsidR="00FE7AD5" w:rsidRPr="000A13FD">
        <w:t xml:space="preserve"> and </w:t>
      </w:r>
      <w:proofErr w:type="spellStart"/>
      <w:r w:rsidR="00FE7AD5" w:rsidRPr="000A13FD">
        <w:t>Assossa</w:t>
      </w:r>
      <w:proofErr w:type="spellEnd"/>
    </w:p>
    <w:p w:rsidR="00E24A09" w:rsidRPr="000A13FD" w:rsidRDefault="00E24A09" w:rsidP="007C2B43">
      <w:pPr>
        <w:pStyle w:val="Bodytext21"/>
        <w:shd w:val="clear" w:color="auto" w:fill="auto"/>
        <w:spacing w:before="0" w:after="224" w:line="240" w:lineRule="auto"/>
        <w:ind w:left="720" w:firstLine="0"/>
      </w:pPr>
      <w:r w:rsidRPr="000A13FD">
        <w:t>c.</w:t>
      </w:r>
      <w:r w:rsidR="00FE7AD5" w:rsidRPr="000A13FD">
        <w:t xml:space="preserve"> April 17</w:t>
      </w:r>
      <w:r w:rsidR="000A13FD" w:rsidRPr="000A13FD">
        <w:t>, 2019</w:t>
      </w:r>
      <w:r w:rsidR="00475A79">
        <w:t xml:space="preserve"> – Hawassa and Dire </w:t>
      </w:r>
      <w:proofErr w:type="spellStart"/>
      <w:r w:rsidR="00475A79">
        <w:t>Dawa</w:t>
      </w:r>
      <w:proofErr w:type="spellEnd"/>
    </w:p>
    <w:p w:rsidR="00E24A09" w:rsidRDefault="000A13FD" w:rsidP="000A13FD">
      <w:pPr>
        <w:pStyle w:val="Bodytext21"/>
        <w:shd w:val="clear" w:color="auto" w:fill="auto"/>
        <w:spacing w:before="0" w:after="224" w:line="240" w:lineRule="auto"/>
        <w:ind w:left="720" w:firstLine="0"/>
      </w:pPr>
      <w:r w:rsidRPr="000A13FD">
        <w:t>d. April 1</w:t>
      </w:r>
      <w:r w:rsidR="00040D6D">
        <w:t>8</w:t>
      </w:r>
      <w:r w:rsidRPr="000A13FD">
        <w:t xml:space="preserve">, 2017 - </w:t>
      </w:r>
      <w:proofErr w:type="spellStart"/>
      <w:r w:rsidRPr="000A13FD">
        <w:t>Semera</w:t>
      </w:r>
      <w:proofErr w:type="spellEnd"/>
    </w:p>
    <w:p w:rsidR="000B5BFC" w:rsidRDefault="00764274" w:rsidP="007C2B43">
      <w:pPr>
        <w:pStyle w:val="Bodytext21"/>
        <w:shd w:val="clear" w:color="auto" w:fill="auto"/>
        <w:spacing w:before="0" w:after="63" w:line="240" w:lineRule="auto"/>
        <w:ind w:firstLine="0"/>
      </w:pPr>
      <w:r>
        <w:t>Questions may be sent by e-mail no later than 21 days before the deadline for the submission of concept notes to the address below, indicating clearly the reference of the call for proposals:</w:t>
      </w:r>
    </w:p>
    <w:p w:rsidR="00470201" w:rsidRDefault="00764274" w:rsidP="007C2B43">
      <w:pPr>
        <w:pStyle w:val="Bodytext21"/>
        <w:shd w:val="clear" w:color="auto" w:fill="FFFFFF" w:themeFill="background1"/>
        <w:spacing w:before="0" w:after="0" w:line="240" w:lineRule="auto"/>
        <w:ind w:left="640" w:right="6" w:firstLine="0"/>
        <w:jc w:val="left"/>
      </w:pPr>
      <w:r w:rsidRPr="00B71447">
        <w:t>E-mail address</w:t>
      </w:r>
      <w:r w:rsidR="00B00D40" w:rsidRPr="00B71447">
        <w:t>es</w:t>
      </w:r>
      <w:r w:rsidRPr="00B71447">
        <w:t xml:space="preserve">: </w:t>
      </w:r>
      <w:r w:rsidR="00E24A09" w:rsidRPr="00B71447">
        <w:tab/>
      </w:r>
      <w:r w:rsidR="00C65E49" w:rsidRPr="00B71447">
        <w:t>DELEGATION</w:t>
      </w:r>
      <w:r w:rsidR="00C65E49" w:rsidRPr="00C65E49">
        <w:t>-ETHIOPIA-CSFIII@eeas.europa.eu</w:t>
      </w:r>
      <w:r w:rsidR="005975EF">
        <w:tab/>
      </w:r>
    </w:p>
    <w:p w:rsidR="00B71447" w:rsidRDefault="005975EF" w:rsidP="009763AA">
      <w:pPr>
        <w:jc w:val="both"/>
      </w:pPr>
      <w:r>
        <w:tab/>
      </w:r>
      <w:r>
        <w:tab/>
      </w:r>
      <w:r>
        <w:tab/>
      </w:r>
    </w:p>
    <w:p w:rsidR="001F4269" w:rsidRDefault="001F4269" w:rsidP="009763AA">
      <w:pPr>
        <w:jc w:val="both"/>
        <w:rPr>
          <w:sz w:val="22"/>
          <w:szCs w:val="22"/>
        </w:rPr>
      </w:pPr>
      <w:r w:rsidRPr="00B00D40">
        <w:rPr>
          <w:sz w:val="22"/>
          <w:szCs w:val="22"/>
        </w:rPr>
        <w:t>The contracting authority has no obligation to provide clarifications to questions received after this date</w:t>
      </w:r>
      <w:r w:rsidR="00B00D40" w:rsidRPr="00B00D40">
        <w:rPr>
          <w:sz w:val="22"/>
          <w:szCs w:val="22"/>
        </w:rPr>
        <w:t>.</w:t>
      </w:r>
    </w:p>
    <w:p w:rsidR="00B371E6" w:rsidRPr="00B00D40" w:rsidRDefault="00B371E6" w:rsidP="009763AA">
      <w:pPr>
        <w:jc w:val="both"/>
        <w:rPr>
          <w:sz w:val="22"/>
          <w:szCs w:val="22"/>
        </w:rPr>
      </w:pPr>
    </w:p>
    <w:p w:rsidR="001F4269" w:rsidRPr="00B00D40" w:rsidRDefault="001F4269" w:rsidP="001A23A8">
      <w:pPr>
        <w:jc w:val="both"/>
        <w:rPr>
          <w:sz w:val="22"/>
          <w:szCs w:val="22"/>
        </w:rPr>
      </w:pPr>
      <w:r w:rsidRPr="00B00D40">
        <w:rPr>
          <w:sz w:val="22"/>
          <w:szCs w:val="22"/>
        </w:rPr>
        <w:t>Replies will be given no later than 11 days before the deadline for submission of concept notes</w:t>
      </w:r>
      <w:r w:rsidR="00B00D40" w:rsidRPr="00B00D40">
        <w:rPr>
          <w:sz w:val="22"/>
          <w:szCs w:val="22"/>
        </w:rPr>
        <w:t>.</w:t>
      </w:r>
    </w:p>
    <w:p w:rsidR="00B00D40" w:rsidRDefault="00B00D40" w:rsidP="00480E34">
      <w:pPr>
        <w:jc w:val="both"/>
        <w:rPr>
          <w:sz w:val="22"/>
          <w:szCs w:val="22"/>
        </w:rPr>
      </w:pPr>
    </w:p>
    <w:p w:rsidR="001F4269" w:rsidRPr="00B00D40" w:rsidRDefault="001F4269" w:rsidP="00480E34">
      <w:pPr>
        <w:jc w:val="both"/>
        <w:rPr>
          <w:sz w:val="22"/>
          <w:szCs w:val="22"/>
        </w:rPr>
      </w:pPr>
      <w:r w:rsidRPr="00B00D40">
        <w:rPr>
          <w:sz w:val="22"/>
          <w:szCs w:val="22"/>
        </w:rPr>
        <w:t>To ensure equal treatment of applicants, the contracting authority cannot give a prior opinion on the eligibility of lead applicants, co-applicants, affiliated entity(</w:t>
      </w:r>
      <w:proofErr w:type="spellStart"/>
      <w:r w:rsidRPr="00B00D40">
        <w:rPr>
          <w:sz w:val="22"/>
          <w:szCs w:val="22"/>
        </w:rPr>
        <w:t>ies</w:t>
      </w:r>
      <w:proofErr w:type="spellEnd"/>
      <w:r w:rsidRPr="00B00D40">
        <w:rPr>
          <w:sz w:val="22"/>
          <w:szCs w:val="22"/>
        </w:rPr>
        <w:t>), an action or specific activities.</w:t>
      </w:r>
    </w:p>
    <w:p w:rsidR="00B00D40" w:rsidRDefault="00B00D40">
      <w:pPr>
        <w:jc w:val="both"/>
        <w:rPr>
          <w:sz w:val="22"/>
          <w:szCs w:val="22"/>
        </w:rPr>
      </w:pPr>
    </w:p>
    <w:p w:rsidR="00B00D40" w:rsidRDefault="001F4269">
      <w:pPr>
        <w:jc w:val="both"/>
        <w:rPr>
          <w:sz w:val="22"/>
          <w:szCs w:val="22"/>
        </w:rPr>
      </w:pPr>
      <w:r w:rsidRPr="00B00D40">
        <w:rPr>
          <w:sz w:val="22"/>
          <w:szCs w:val="22"/>
        </w:rPr>
        <w:t>No individual replies will be given to questions. All questions and answers as well as other important notices to applicants during the course of the evaluation procedure will be published on the website of DG International Cooperation and Development:</w:t>
      </w:r>
    </w:p>
    <w:p w:rsidR="00B71447" w:rsidRDefault="00B71447">
      <w:pPr>
        <w:jc w:val="both"/>
        <w:rPr>
          <w:sz w:val="22"/>
          <w:szCs w:val="22"/>
        </w:rPr>
      </w:pPr>
    </w:p>
    <w:p w:rsidR="00B00D40" w:rsidRDefault="006A0C0F">
      <w:pPr>
        <w:jc w:val="both"/>
        <w:rPr>
          <w:sz w:val="22"/>
          <w:szCs w:val="22"/>
        </w:rPr>
      </w:pPr>
      <w:hyperlink r:id="rId19" w:history="1">
        <w:r w:rsidR="00B00D40" w:rsidRPr="00276D4C">
          <w:rPr>
            <w:rStyle w:val="Hyperlink"/>
            <w:sz w:val="22"/>
            <w:szCs w:val="22"/>
          </w:rPr>
          <w:t>https://webgate.ec.europa.eu/europeaid/online-</w:t>
        </w:r>
      </w:hyperlink>
      <w:hyperlink r:id="rId20" w:history="1">
        <w:r w:rsidR="001F4269" w:rsidRPr="00B00D40">
          <w:rPr>
            <w:rStyle w:val="Hyperlink"/>
            <w:sz w:val="22"/>
            <w:szCs w:val="22"/>
          </w:rPr>
          <w:t>services/index.cfm?do=publi.welcome</w:t>
        </w:r>
      </w:hyperlink>
      <w:r w:rsidR="00040D6D">
        <w:rPr>
          <w:rStyle w:val="Hyperlink"/>
          <w:sz w:val="22"/>
          <w:szCs w:val="22"/>
        </w:rPr>
        <w:t xml:space="preserve"> and www.CSF3.org</w:t>
      </w:r>
    </w:p>
    <w:p w:rsidR="00B00D40" w:rsidRDefault="00B00D40">
      <w:pPr>
        <w:jc w:val="both"/>
        <w:rPr>
          <w:sz w:val="22"/>
          <w:szCs w:val="22"/>
        </w:rPr>
      </w:pPr>
    </w:p>
    <w:p w:rsidR="001F4269" w:rsidRPr="00B00D40" w:rsidRDefault="001F4269">
      <w:pPr>
        <w:jc w:val="both"/>
        <w:rPr>
          <w:sz w:val="22"/>
          <w:szCs w:val="22"/>
        </w:rPr>
      </w:pPr>
      <w:r w:rsidRPr="00B00D40">
        <w:rPr>
          <w:sz w:val="22"/>
          <w:szCs w:val="22"/>
        </w:rPr>
        <w:t>as the need arises. It is therefore advisable to consult the above</w:t>
      </w:r>
      <w:r w:rsidR="00B00D40">
        <w:rPr>
          <w:sz w:val="22"/>
          <w:szCs w:val="22"/>
        </w:rPr>
        <w:t>-</w:t>
      </w:r>
      <w:r w:rsidRPr="00B00D40">
        <w:rPr>
          <w:sz w:val="22"/>
          <w:szCs w:val="22"/>
        </w:rPr>
        <w:t>mentioned website</w:t>
      </w:r>
      <w:r w:rsidR="005975EF">
        <w:rPr>
          <w:sz w:val="22"/>
          <w:szCs w:val="22"/>
        </w:rPr>
        <w:t>s</w:t>
      </w:r>
      <w:r w:rsidRPr="00B00D40">
        <w:rPr>
          <w:sz w:val="22"/>
          <w:szCs w:val="22"/>
        </w:rPr>
        <w:t xml:space="preserve"> regularly in order to be informed of the questions and answers published.</w:t>
      </w:r>
    </w:p>
    <w:p w:rsidR="001F4269" w:rsidRPr="00B00D40" w:rsidRDefault="001F4269">
      <w:pPr>
        <w:jc w:val="both"/>
        <w:rPr>
          <w:sz w:val="22"/>
          <w:szCs w:val="22"/>
        </w:rPr>
      </w:pPr>
    </w:p>
    <w:p w:rsidR="001F4269" w:rsidRPr="000E6F20" w:rsidRDefault="000E6F20">
      <w:pPr>
        <w:jc w:val="both"/>
        <w:rPr>
          <w:sz w:val="22"/>
          <w:szCs w:val="22"/>
        </w:rPr>
      </w:pPr>
      <w:r w:rsidRPr="000E6F20">
        <w:rPr>
          <w:sz w:val="22"/>
          <w:szCs w:val="22"/>
        </w:rPr>
        <w:t xml:space="preserve">All questions related to registration in PADOR or the online submission via PROSPECT should be addressed to the IT helpdesk at </w:t>
      </w:r>
      <w:hyperlink r:id="rId21" w:history="1">
        <w:r w:rsidRPr="00B71447">
          <w:rPr>
            <w:rStyle w:val="Hyperlink"/>
            <w:sz w:val="22"/>
            <w:szCs w:val="22"/>
          </w:rPr>
          <w:t>EuropeAid-IT-support@ec.europa.eu</w:t>
        </w:r>
      </w:hyperlink>
      <w:r w:rsidR="00040D6D">
        <w:rPr>
          <w:rStyle w:val="Hyperlink"/>
          <w:sz w:val="22"/>
          <w:szCs w:val="22"/>
        </w:rPr>
        <w:t xml:space="preserve"> </w:t>
      </w:r>
      <w:r w:rsidRPr="000E6F20">
        <w:rPr>
          <w:b/>
          <w:sz w:val="22"/>
          <w:szCs w:val="22"/>
        </w:rPr>
        <w:t>via the online support form in PROSPECT</w:t>
      </w:r>
      <w:r w:rsidRPr="000E6F20">
        <w:rPr>
          <w:sz w:val="22"/>
          <w:szCs w:val="22"/>
        </w:rPr>
        <w:t xml:space="preserve">. Please note that the working languages of the IT support are: English French and Spanish. </w:t>
      </w:r>
      <w:r w:rsidR="005975EF" w:rsidRPr="000E6F20">
        <w:rPr>
          <w:sz w:val="22"/>
          <w:szCs w:val="22"/>
        </w:rPr>
        <w:t>Therefore,</w:t>
      </w:r>
      <w:r w:rsidRPr="000E6F20">
        <w:rPr>
          <w:sz w:val="22"/>
          <w:szCs w:val="22"/>
        </w:rPr>
        <w:t xml:space="preserve"> users are invited to send their questions in English, French or Spanish should they wish to benefit from an optimum response time.</w:t>
      </w:r>
    </w:p>
    <w:p w:rsidR="000E6F20" w:rsidRPr="000E6F20" w:rsidRDefault="000E6F20">
      <w:pPr>
        <w:widowControl/>
        <w:spacing w:before="120" w:after="120"/>
        <w:jc w:val="both"/>
        <w:rPr>
          <w:color w:val="auto"/>
          <w:sz w:val="22"/>
          <w:szCs w:val="20"/>
          <w:lang w:bidi="ar-SA"/>
        </w:rPr>
      </w:pPr>
    </w:p>
    <w:p w:rsidR="000E6F20" w:rsidRPr="00570E07" w:rsidRDefault="00570E07">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lang w:bidi="ar-SA"/>
        </w:rPr>
      </w:pPr>
      <w:bookmarkStart w:id="39" w:name="_Toc424798178"/>
      <w:bookmarkStart w:id="40" w:name="_Toc125454356"/>
      <w:bookmarkStart w:id="41" w:name="_Toc5010060"/>
      <w:r w:rsidRPr="00BF0450">
        <w:rPr>
          <w:rFonts w:ascii="Times New Roman" w:hAnsi="Times New Roman" w:cs="Times New Roman"/>
          <w:i/>
          <w:color w:val="auto"/>
          <w:lang w:bidi="ar-SA"/>
        </w:rPr>
        <w:t xml:space="preserve">2.2.5. </w:t>
      </w:r>
      <w:r w:rsidR="00B71447" w:rsidRPr="00BF0450">
        <w:rPr>
          <w:rFonts w:ascii="Times New Roman" w:hAnsi="Times New Roman" w:cs="Times New Roman"/>
          <w:i/>
          <w:color w:val="auto"/>
          <w:lang w:bidi="ar-SA"/>
        </w:rPr>
        <w:t>Full</w:t>
      </w:r>
      <w:r w:rsidR="000E6F20" w:rsidRPr="00BF0450">
        <w:rPr>
          <w:rFonts w:ascii="Times New Roman" w:hAnsi="Times New Roman" w:cs="Times New Roman"/>
          <w:i/>
          <w:color w:val="auto"/>
          <w:lang w:bidi="ar-SA"/>
        </w:rPr>
        <w:t xml:space="preserve"> applications</w:t>
      </w:r>
      <w:bookmarkEnd w:id="39"/>
      <w:bookmarkEnd w:id="40"/>
      <w:bookmarkEnd w:id="41"/>
    </w:p>
    <w:p w:rsidR="000E6F20" w:rsidRPr="000E6F20" w:rsidRDefault="000E6F20">
      <w:pPr>
        <w:widowControl/>
        <w:spacing w:before="120" w:after="120"/>
        <w:jc w:val="both"/>
        <w:rPr>
          <w:color w:val="auto"/>
          <w:sz w:val="22"/>
          <w:szCs w:val="20"/>
          <w:lang w:bidi="ar-SA"/>
        </w:rPr>
      </w:pPr>
      <w:r w:rsidRPr="000E6F20">
        <w:rPr>
          <w:color w:val="auto"/>
          <w:sz w:val="22"/>
          <w:szCs w:val="20"/>
          <w:lang w:bidi="ar-SA"/>
        </w:rPr>
        <w:t xml:space="preserve">Lead applicants invited to submit a full application following pre-selection of their concept note must do so using </w:t>
      </w:r>
      <w:r>
        <w:rPr>
          <w:color w:val="auto"/>
          <w:sz w:val="22"/>
          <w:szCs w:val="20"/>
          <w:lang w:bidi="ar-SA"/>
        </w:rPr>
        <w:t>Part B of the grant application form annexed to these guidelines (Annex A). Lead applicants should then keep strictly to the format of the grant application form and fill in the paragraphs and pages in order.</w:t>
      </w:r>
    </w:p>
    <w:p w:rsidR="00ED13F5" w:rsidRDefault="000E6F20">
      <w:pPr>
        <w:jc w:val="both"/>
        <w:rPr>
          <w:sz w:val="22"/>
          <w:szCs w:val="22"/>
        </w:rPr>
      </w:pPr>
      <w:r w:rsidRPr="00ED13F5">
        <w:rPr>
          <w:sz w:val="22"/>
          <w:szCs w:val="20"/>
          <w:lang w:bidi="ar-SA"/>
        </w:rPr>
        <w:t>The elements outlined in the</w:t>
      </w:r>
      <w:r w:rsidR="00C54D4D">
        <w:rPr>
          <w:sz w:val="22"/>
          <w:szCs w:val="20"/>
          <w:lang w:bidi="ar-SA"/>
        </w:rPr>
        <w:t xml:space="preserve"> </w:t>
      </w:r>
      <w:r w:rsidRPr="00ED13F5">
        <w:rPr>
          <w:sz w:val="22"/>
          <w:szCs w:val="20"/>
          <w:lang w:bidi="ar-SA"/>
        </w:rPr>
        <w:t>concept note cannot be modified by the lead applicant in the full application form</w:t>
      </w:r>
      <w:r w:rsidR="00ED13F5" w:rsidRPr="00ED13F5">
        <w:rPr>
          <w:sz w:val="22"/>
          <w:szCs w:val="20"/>
          <w:lang w:bidi="ar-SA"/>
        </w:rPr>
        <w:t xml:space="preserve">. </w:t>
      </w:r>
      <w:r w:rsidRPr="00ED13F5">
        <w:rPr>
          <w:color w:val="auto"/>
          <w:sz w:val="22"/>
          <w:szCs w:val="20"/>
          <w:lang w:bidi="ar-SA"/>
        </w:rPr>
        <w:t>The EU contribution may not vary from the initial estimate by more than 20</w:t>
      </w:r>
      <w:r w:rsidRPr="00ED13F5">
        <w:rPr>
          <w:color w:val="auto"/>
          <w:w w:val="50"/>
          <w:sz w:val="22"/>
          <w:szCs w:val="20"/>
          <w:lang w:bidi="ar-SA"/>
        </w:rPr>
        <w:t> </w:t>
      </w:r>
      <w:r w:rsidRPr="00ED13F5">
        <w:rPr>
          <w:color w:val="auto"/>
          <w:sz w:val="22"/>
          <w:szCs w:val="20"/>
          <w:lang w:bidi="ar-SA"/>
        </w:rPr>
        <w:t>%, although lead applicants are free to adapt the percentage of co-financing required within the minimum and maximum amount and percentages of co-financing, as laid down in these guidelines under section 1.3.</w:t>
      </w:r>
      <w:r w:rsidR="00ED13F5" w:rsidRPr="00D60F30">
        <w:rPr>
          <w:sz w:val="22"/>
          <w:szCs w:val="22"/>
        </w:rPr>
        <w:t>The lead applicant may replace a co-applicant or an affiliated entity only in duly justified cases (e.g. bankruptcy of initial co</w:t>
      </w:r>
      <w:r w:rsidR="00ED13F5">
        <w:rPr>
          <w:sz w:val="22"/>
          <w:szCs w:val="22"/>
        </w:rPr>
        <w:t>-</w:t>
      </w:r>
      <w:r w:rsidR="00ED13F5" w:rsidRPr="00D60F30">
        <w:rPr>
          <w:sz w:val="22"/>
          <w:szCs w:val="22"/>
        </w:rPr>
        <w:softHyphen/>
        <w:t>applicant or affiliated entity). In this case the new co-</w:t>
      </w:r>
      <w:r w:rsidR="00ED13F5" w:rsidRPr="00226249">
        <w:t xml:space="preserve">applicant/affiliated entity must be of a similar nature as the initial one. The lead applicant may adjust the duration of the action if unforeseen circumstances outside the scope of the applicants have taken place following the </w:t>
      </w:r>
      <w:r w:rsidR="00ED13F5">
        <w:t>su</w:t>
      </w:r>
      <w:r w:rsidR="00ED13F5" w:rsidRPr="00226249">
        <w:t xml:space="preserve">bmission of the concept note and require such adaptation (risk of action not being carried out). In such cases the duration must </w:t>
      </w:r>
      <w:r w:rsidR="00ED13F5" w:rsidRPr="00226249">
        <w:lastRenderedPageBreak/>
        <w:t>remain within the limits imposed by the guidelines for applicants.</w:t>
      </w:r>
      <w:r w:rsidR="00C54D4D">
        <w:t xml:space="preserve">  </w:t>
      </w:r>
      <w:r w:rsidR="00ED13F5" w:rsidRPr="00226249">
        <w:t>An explanation/justification of the relevant replacement/adjustment shall be included in an accompanying letter or email</w:t>
      </w:r>
      <w:r w:rsidR="00ED13F5" w:rsidRPr="00226249">
        <w:rPr>
          <w:sz w:val="22"/>
          <w:szCs w:val="22"/>
        </w:rPr>
        <w:t>.</w:t>
      </w:r>
    </w:p>
    <w:p w:rsidR="00ED13F5" w:rsidRDefault="00ED13F5">
      <w:pPr>
        <w:jc w:val="both"/>
        <w:rPr>
          <w:sz w:val="22"/>
          <w:szCs w:val="22"/>
        </w:rPr>
      </w:pPr>
    </w:p>
    <w:p w:rsidR="000E6F20" w:rsidRDefault="005A736F">
      <w:pPr>
        <w:widowControl/>
        <w:spacing w:before="120" w:after="120"/>
        <w:jc w:val="both"/>
        <w:rPr>
          <w:color w:val="auto"/>
          <w:sz w:val="22"/>
          <w:szCs w:val="22"/>
          <w:lang w:eastAsia="en-GB" w:bidi="ar-SA"/>
        </w:rPr>
      </w:pPr>
      <w:r w:rsidRPr="005A736F">
        <w:rPr>
          <w:color w:val="auto"/>
          <w:sz w:val="22"/>
          <w:szCs w:val="22"/>
          <w:lang w:eastAsia="en-GB" w:bidi="ar-SA"/>
        </w:rPr>
        <w:t xml:space="preserve">Lead applicants must submit their full applications in the same language as their concept notes. </w:t>
      </w:r>
      <w:r w:rsidR="000E6F20" w:rsidRPr="005A736F">
        <w:rPr>
          <w:color w:val="auto"/>
          <w:sz w:val="22"/>
          <w:szCs w:val="22"/>
          <w:lang w:eastAsia="en-GB" w:bidi="ar-SA"/>
        </w:rPr>
        <w:t>A copy of the lead applicant’s accounts of the latest financial year (the profit and loss account and the balance sheet for the last financial year for which the accounts have been closed) must be uploaded in PADOR by the full application deadline. A copy of the latest account is neither required from (if any) the co-applicant(s) nor from (if any) affiliated entity(</w:t>
      </w:r>
      <w:proofErr w:type="spellStart"/>
      <w:r w:rsidR="000E6F20" w:rsidRPr="005A736F">
        <w:rPr>
          <w:color w:val="auto"/>
          <w:sz w:val="22"/>
          <w:szCs w:val="22"/>
          <w:lang w:eastAsia="en-GB" w:bidi="ar-SA"/>
        </w:rPr>
        <w:t>ies</w:t>
      </w:r>
      <w:proofErr w:type="spellEnd"/>
      <w:r w:rsidR="000E6F20" w:rsidRPr="005A736F">
        <w:rPr>
          <w:color w:val="auto"/>
          <w:sz w:val="22"/>
          <w:szCs w:val="22"/>
          <w:lang w:eastAsia="en-GB" w:bidi="ar-SA"/>
        </w:rPr>
        <w:t>)).</w:t>
      </w:r>
    </w:p>
    <w:p w:rsidR="005A736F" w:rsidRDefault="005A736F">
      <w:pPr>
        <w:widowControl/>
        <w:spacing w:before="120" w:after="120"/>
        <w:jc w:val="both"/>
        <w:rPr>
          <w:color w:val="auto"/>
          <w:sz w:val="22"/>
          <w:szCs w:val="22"/>
          <w:lang w:eastAsia="en-GB" w:bidi="ar-SA"/>
        </w:rPr>
      </w:pPr>
      <w:r>
        <w:rPr>
          <w:color w:val="auto"/>
          <w:sz w:val="22"/>
          <w:szCs w:val="22"/>
          <w:lang w:eastAsia="en-GB" w:bidi="ar-SA"/>
        </w:rPr>
        <w:t>Please complete the full application form carefully and as clearly as possible so that it can be assessed properly.</w:t>
      </w:r>
    </w:p>
    <w:p w:rsidR="005A736F" w:rsidRDefault="005A736F">
      <w:pPr>
        <w:jc w:val="both"/>
        <w:rPr>
          <w:sz w:val="22"/>
          <w:szCs w:val="22"/>
        </w:rPr>
      </w:pPr>
      <w:r w:rsidRPr="005A736F">
        <w:rPr>
          <w:sz w:val="22"/>
          <w:szCs w:val="22"/>
        </w:rPr>
        <w:t>Any error related to the points listed in the checklist (Part B, Section 7 of the grant application form) or any major inconsistency in the full application (e.g. if the amounts in the budget worksheets are inconsistent) may lead to the rejection of the application.</w:t>
      </w:r>
    </w:p>
    <w:p w:rsidR="005A736F" w:rsidRPr="005A736F" w:rsidRDefault="005A736F">
      <w:pPr>
        <w:jc w:val="both"/>
        <w:rPr>
          <w:sz w:val="22"/>
          <w:szCs w:val="22"/>
        </w:rPr>
      </w:pPr>
    </w:p>
    <w:p w:rsidR="005A736F" w:rsidRDefault="005A736F">
      <w:pPr>
        <w:jc w:val="both"/>
        <w:rPr>
          <w:sz w:val="22"/>
          <w:szCs w:val="22"/>
        </w:rPr>
      </w:pPr>
      <w:r w:rsidRPr="005A736F">
        <w:rPr>
          <w:sz w:val="22"/>
          <w:szCs w:val="22"/>
        </w:rPr>
        <w:t>Clarifications will only be requested when information provided is unclear and thus prevents the contracting authority from conducting an objective assessment.</w:t>
      </w:r>
    </w:p>
    <w:p w:rsidR="005A736F" w:rsidRPr="005A736F" w:rsidRDefault="005A736F">
      <w:pPr>
        <w:jc w:val="both"/>
        <w:rPr>
          <w:sz w:val="22"/>
          <w:szCs w:val="22"/>
        </w:rPr>
      </w:pPr>
    </w:p>
    <w:p w:rsidR="005A736F" w:rsidRDefault="005A736F">
      <w:pPr>
        <w:jc w:val="both"/>
        <w:rPr>
          <w:sz w:val="22"/>
          <w:szCs w:val="22"/>
        </w:rPr>
      </w:pPr>
      <w:r w:rsidRPr="005A736F">
        <w:rPr>
          <w:sz w:val="22"/>
          <w:szCs w:val="22"/>
        </w:rPr>
        <w:t>Hand-written applications will not be accepted.</w:t>
      </w:r>
    </w:p>
    <w:p w:rsidR="005A736F" w:rsidRPr="005A736F" w:rsidRDefault="005A736F">
      <w:pPr>
        <w:jc w:val="both"/>
        <w:rPr>
          <w:sz w:val="22"/>
          <w:szCs w:val="22"/>
        </w:rPr>
      </w:pPr>
    </w:p>
    <w:p w:rsidR="005A736F" w:rsidRDefault="005A736F">
      <w:pPr>
        <w:jc w:val="both"/>
        <w:rPr>
          <w:sz w:val="22"/>
          <w:szCs w:val="22"/>
        </w:rPr>
      </w:pPr>
      <w:r w:rsidRPr="005A736F">
        <w:rPr>
          <w:sz w:val="22"/>
          <w:szCs w:val="22"/>
        </w:rPr>
        <w:t>Please note that only the full application form and the published annexes which have to be filled in (budget, logical framework) will be transmitted to the evaluators (and assessors, if used). It is therefore of utmost importance that these documents contain ALL the relevant information concerning the action.</w:t>
      </w:r>
    </w:p>
    <w:p w:rsidR="005A736F" w:rsidRPr="005A736F" w:rsidRDefault="005A736F">
      <w:pPr>
        <w:rPr>
          <w:sz w:val="22"/>
          <w:szCs w:val="22"/>
        </w:rPr>
      </w:pPr>
      <w:r w:rsidRPr="005A736F">
        <w:rPr>
          <w:b/>
          <w:sz w:val="22"/>
          <w:szCs w:val="22"/>
        </w:rPr>
        <w:t>With the full application the lead applicant also has to submit completed organisation data forms (Annex F) for the lead applicant, each (if any) co-applicants and each (if any) affiliated entities</w:t>
      </w:r>
      <w:r>
        <w:rPr>
          <w:sz w:val="22"/>
          <w:szCs w:val="22"/>
        </w:rPr>
        <w:t xml:space="preserve">. </w:t>
      </w:r>
      <w:r w:rsidRPr="005A736F">
        <w:rPr>
          <w:sz w:val="22"/>
          <w:szCs w:val="22"/>
          <w:vertAlign w:val="superscript"/>
        </w:rPr>
        <w:footnoteReference w:id="18"/>
      </w:r>
    </w:p>
    <w:p w:rsidR="005A736F" w:rsidRDefault="005A736F">
      <w:pPr>
        <w:rPr>
          <w:sz w:val="22"/>
          <w:szCs w:val="22"/>
        </w:rPr>
      </w:pPr>
    </w:p>
    <w:p w:rsidR="005A736F" w:rsidRPr="005A736F" w:rsidRDefault="005A736F">
      <w:pPr>
        <w:rPr>
          <w:b/>
          <w:sz w:val="22"/>
          <w:szCs w:val="22"/>
        </w:rPr>
      </w:pPr>
      <w:r w:rsidRPr="005A736F">
        <w:rPr>
          <w:b/>
          <w:sz w:val="22"/>
          <w:szCs w:val="22"/>
        </w:rPr>
        <w:t>No additional annexes should be sent.</w:t>
      </w:r>
    </w:p>
    <w:p w:rsidR="009A7AC8" w:rsidRPr="00C54D4D" w:rsidRDefault="009A7AC8">
      <w:pPr>
        <w:widowControl/>
        <w:spacing w:before="120" w:after="120"/>
        <w:jc w:val="both"/>
        <w:rPr>
          <w:color w:val="auto"/>
          <w:lang w:eastAsia="en-GB" w:bidi="ar-SA"/>
        </w:rPr>
      </w:pPr>
    </w:p>
    <w:p w:rsidR="005A736F" w:rsidRPr="009A7AC8" w:rsidRDefault="009A7AC8">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sz w:val="22"/>
          <w:szCs w:val="22"/>
          <w:lang w:eastAsia="en-GB" w:bidi="ar-SA"/>
        </w:rPr>
      </w:pPr>
      <w:bookmarkStart w:id="42" w:name="_Toc5010061"/>
      <w:r>
        <w:rPr>
          <w:rFonts w:ascii="Times New Roman" w:hAnsi="Times New Roman" w:cs="Times New Roman"/>
          <w:i/>
          <w:color w:val="auto"/>
          <w:lang w:eastAsia="en-GB" w:bidi="ar-SA"/>
        </w:rPr>
        <w:t xml:space="preserve">2.2.6. </w:t>
      </w:r>
      <w:r w:rsidRPr="009A7AC8">
        <w:rPr>
          <w:rFonts w:ascii="Times New Roman" w:hAnsi="Times New Roman" w:cs="Times New Roman"/>
          <w:i/>
          <w:color w:val="auto"/>
          <w:lang w:eastAsia="en-GB" w:bidi="ar-SA"/>
        </w:rPr>
        <w:t>Where and how to send full applications</w:t>
      </w:r>
      <w:bookmarkEnd w:id="42"/>
    </w:p>
    <w:p w:rsidR="00401706" w:rsidRDefault="00401706">
      <w:pPr>
        <w:pStyle w:val="NoSpacing"/>
      </w:pPr>
    </w:p>
    <w:p w:rsidR="000B5BFC" w:rsidRDefault="00764274">
      <w:pPr>
        <w:pStyle w:val="NoSpacing"/>
        <w:rPr>
          <w:sz w:val="22"/>
          <w:szCs w:val="22"/>
        </w:rPr>
      </w:pPr>
      <w:r w:rsidRPr="00401706">
        <w:rPr>
          <w:sz w:val="22"/>
          <w:szCs w:val="22"/>
        </w:rPr>
        <w:t xml:space="preserve">Full application </w:t>
      </w:r>
      <w:r w:rsidRPr="00401706">
        <w:rPr>
          <w:sz w:val="22"/>
          <w:szCs w:val="22"/>
          <w:lang w:eastAsia="da-DK" w:bidi="da-DK"/>
        </w:rPr>
        <w:t xml:space="preserve">forms </w:t>
      </w:r>
      <w:r w:rsidRPr="00401706">
        <w:rPr>
          <w:sz w:val="22"/>
          <w:szCs w:val="22"/>
        </w:rPr>
        <w:t>together with the budget, the logical framework and the declaration by the lead applicant must be submitted online via PROSPECT</w:t>
      </w:r>
      <w:hyperlink r:id="rId22" w:history="1">
        <w:r w:rsidR="00B71447" w:rsidRPr="00401706">
          <w:rPr>
            <w:rStyle w:val="Hyperlink"/>
            <w:sz w:val="22"/>
            <w:szCs w:val="22"/>
          </w:rPr>
          <w:t xml:space="preserve"> https://webgate.ec.europa.eu/europeaid/prospect</w:t>
        </w:r>
      </w:hyperlink>
      <w:r w:rsidRPr="00401706">
        <w:rPr>
          <w:sz w:val="22"/>
          <w:szCs w:val="22"/>
        </w:rPr>
        <w:t>following the instructions given in the users’ manual.</w:t>
      </w:r>
    </w:p>
    <w:p w:rsidR="00401706" w:rsidRPr="00401706" w:rsidRDefault="00401706">
      <w:pPr>
        <w:pStyle w:val="NoSpacing"/>
        <w:rPr>
          <w:sz w:val="22"/>
          <w:szCs w:val="22"/>
        </w:rPr>
      </w:pPr>
    </w:p>
    <w:p w:rsidR="000B5BFC" w:rsidRPr="00401706" w:rsidRDefault="00764274" w:rsidP="007C2B43">
      <w:pPr>
        <w:pStyle w:val="Bodytext21"/>
        <w:shd w:val="clear" w:color="auto" w:fill="auto"/>
        <w:spacing w:before="0" w:after="424" w:line="240" w:lineRule="auto"/>
        <w:ind w:firstLine="0"/>
      </w:pPr>
      <w:r w:rsidRPr="00401706">
        <w:t>Upon submission of the full application online, the lead applicants will receive an automatic confirmation of receipt in their PROSPECT profile.</w:t>
      </w:r>
    </w:p>
    <w:p w:rsidR="000B5BFC" w:rsidRDefault="00764274" w:rsidP="009763AA">
      <w:pPr>
        <w:jc w:val="both"/>
        <w:rPr>
          <w:sz w:val="22"/>
          <w:szCs w:val="22"/>
        </w:rPr>
      </w:pPr>
      <w:r w:rsidRPr="008A3CEA">
        <w:rPr>
          <w:sz w:val="22"/>
          <w:szCs w:val="22"/>
        </w:rPr>
        <w:t>(a) If the lead applicant submitted the concept note by post / hand delivery (see section 2.2.3) it must send the full application by the same means (by post or hand delivery).</w:t>
      </w:r>
    </w:p>
    <w:p w:rsidR="008A3CEA" w:rsidRPr="008A3CEA" w:rsidRDefault="008A3CEA" w:rsidP="009763AA">
      <w:pPr>
        <w:jc w:val="both"/>
        <w:rPr>
          <w:sz w:val="22"/>
          <w:szCs w:val="22"/>
        </w:rPr>
      </w:pPr>
    </w:p>
    <w:p w:rsidR="000B5BFC" w:rsidRDefault="00764274" w:rsidP="009763AA">
      <w:pPr>
        <w:jc w:val="both"/>
        <w:rPr>
          <w:sz w:val="22"/>
          <w:szCs w:val="22"/>
        </w:rPr>
      </w:pPr>
      <w:r w:rsidRPr="008A3CEA">
        <w:rPr>
          <w:sz w:val="22"/>
          <w:szCs w:val="22"/>
        </w:rPr>
        <w:t>(b) If the lead applicant submitted the concept note online via PROSPECT but it is technically impossible for the organisation to submit the full application online</w:t>
      </w:r>
      <w:r w:rsidR="008A3CEA">
        <w:rPr>
          <w:sz w:val="22"/>
          <w:szCs w:val="22"/>
        </w:rPr>
        <w:t>.</w:t>
      </w:r>
    </w:p>
    <w:p w:rsidR="008A3CEA" w:rsidRPr="008A3CEA" w:rsidRDefault="008A3CEA" w:rsidP="001A23A8">
      <w:pPr>
        <w:jc w:val="both"/>
        <w:rPr>
          <w:sz w:val="22"/>
          <w:szCs w:val="22"/>
        </w:rPr>
      </w:pPr>
    </w:p>
    <w:p w:rsidR="008A3CEA" w:rsidRDefault="00764274" w:rsidP="00480E34">
      <w:pPr>
        <w:jc w:val="both"/>
        <w:rPr>
          <w:sz w:val="22"/>
          <w:szCs w:val="22"/>
        </w:rPr>
      </w:pPr>
      <w:r w:rsidRPr="008A3CEA">
        <w:rPr>
          <w:sz w:val="22"/>
          <w:szCs w:val="22"/>
        </w:rPr>
        <w:t>In the above two cases the lead applicant must send by post the application, i.e</w:t>
      </w:r>
      <w:r w:rsidR="002D1058">
        <w:rPr>
          <w:sz w:val="22"/>
          <w:szCs w:val="22"/>
        </w:rPr>
        <w:t>.</w:t>
      </w:r>
      <w:r w:rsidRPr="008A3CEA">
        <w:rPr>
          <w:sz w:val="22"/>
          <w:szCs w:val="22"/>
        </w:rPr>
        <w:t xml:space="preserve"> the full application form, the budget, the logical framework and the declaration by the lead applicant. The lead applicant must send, in a sealed envelope as described below, the following items:</w:t>
      </w:r>
    </w:p>
    <w:p w:rsidR="000B5BFC" w:rsidRDefault="008A3CEA" w:rsidP="00480E34">
      <w:pPr>
        <w:ind w:left="720"/>
        <w:jc w:val="both"/>
        <w:rPr>
          <w:sz w:val="22"/>
          <w:szCs w:val="22"/>
        </w:rPr>
      </w:pPr>
      <w:r>
        <w:rPr>
          <w:sz w:val="22"/>
          <w:szCs w:val="22"/>
        </w:rPr>
        <w:t xml:space="preserve">(a) </w:t>
      </w:r>
      <w:r w:rsidR="00764274" w:rsidRPr="008A3CEA">
        <w:rPr>
          <w:sz w:val="22"/>
          <w:szCs w:val="22"/>
        </w:rPr>
        <w:t>One original signed copy of the full application form, the budget and the logical framework. The declaration by the lead applicant (Annex A.2, section 5) must be printed and stapled separately and enclosed in the envelope</w:t>
      </w:r>
      <w:r w:rsidR="002D1058">
        <w:rPr>
          <w:sz w:val="22"/>
          <w:szCs w:val="22"/>
        </w:rPr>
        <w:t>;</w:t>
      </w:r>
    </w:p>
    <w:p w:rsidR="002D1058" w:rsidRPr="008A3CEA" w:rsidRDefault="002D1058">
      <w:pPr>
        <w:ind w:left="720"/>
        <w:jc w:val="both"/>
        <w:rPr>
          <w:sz w:val="22"/>
          <w:szCs w:val="22"/>
        </w:rPr>
      </w:pPr>
    </w:p>
    <w:p w:rsidR="008A3CEA" w:rsidRDefault="008A3CEA">
      <w:pPr>
        <w:ind w:firstLine="720"/>
        <w:jc w:val="both"/>
        <w:rPr>
          <w:sz w:val="22"/>
          <w:szCs w:val="22"/>
        </w:rPr>
      </w:pPr>
      <w:r>
        <w:rPr>
          <w:sz w:val="22"/>
          <w:szCs w:val="22"/>
        </w:rPr>
        <w:t xml:space="preserve">(b) Two </w:t>
      </w:r>
      <w:r w:rsidR="00764274" w:rsidRPr="008A3CEA">
        <w:rPr>
          <w:sz w:val="22"/>
          <w:szCs w:val="22"/>
        </w:rPr>
        <w:t>additional copies in A4 size, each bound</w:t>
      </w:r>
      <w:r w:rsidR="002D1058">
        <w:rPr>
          <w:sz w:val="22"/>
          <w:szCs w:val="22"/>
        </w:rPr>
        <w:t>;</w:t>
      </w:r>
    </w:p>
    <w:p w:rsidR="002D1058" w:rsidRDefault="002D1058">
      <w:pPr>
        <w:ind w:firstLine="720"/>
        <w:jc w:val="both"/>
        <w:rPr>
          <w:sz w:val="22"/>
          <w:szCs w:val="22"/>
        </w:rPr>
      </w:pPr>
    </w:p>
    <w:p w:rsidR="002D1058" w:rsidRPr="002D1058" w:rsidRDefault="002D1058">
      <w:pPr>
        <w:ind w:left="720"/>
        <w:jc w:val="both"/>
        <w:rPr>
          <w:sz w:val="22"/>
          <w:szCs w:val="22"/>
        </w:rPr>
      </w:pPr>
      <w:r w:rsidRPr="002D1058">
        <w:rPr>
          <w:sz w:val="22"/>
          <w:szCs w:val="22"/>
        </w:rPr>
        <w:t xml:space="preserve">(c) An electronic version (e.g. </w:t>
      </w:r>
      <w:proofErr w:type="spellStart"/>
      <w:r w:rsidRPr="002D1058">
        <w:rPr>
          <w:sz w:val="22"/>
          <w:szCs w:val="22"/>
        </w:rPr>
        <w:t>CD-Rom</w:t>
      </w:r>
      <w:proofErr w:type="spellEnd"/>
      <w:r w:rsidRPr="002D1058">
        <w:rPr>
          <w:sz w:val="22"/>
          <w:szCs w:val="22"/>
        </w:rPr>
        <w:t>) of the items under point (a)</w:t>
      </w:r>
      <w:r>
        <w:rPr>
          <w:sz w:val="22"/>
          <w:szCs w:val="22"/>
        </w:rPr>
        <w:t>.</w:t>
      </w:r>
      <w:r w:rsidRPr="002D1058">
        <w:rPr>
          <w:sz w:val="22"/>
          <w:szCs w:val="22"/>
        </w:rPr>
        <w:t xml:space="preserve"> The electronic file must contain exactly the same application as the paper version enclosed.</w:t>
      </w:r>
    </w:p>
    <w:p w:rsidR="002D1058" w:rsidRDefault="002D1058">
      <w:pPr>
        <w:ind w:firstLine="720"/>
        <w:jc w:val="both"/>
        <w:rPr>
          <w:sz w:val="22"/>
          <w:szCs w:val="22"/>
        </w:rPr>
      </w:pPr>
    </w:p>
    <w:p w:rsidR="000B5BFC" w:rsidRPr="002D1058" w:rsidRDefault="00764274" w:rsidP="007C2B43">
      <w:pPr>
        <w:pStyle w:val="Bodytext21"/>
        <w:shd w:val="clear" w:color="auto" w:fill="auto"/>
        <w:spacing w:before="0" w:after="204" w:line="240" w:lineRule="auto"/>
        <w:ind w:firstLine="0"/>
      </w:pPr>
      <w:r w:rsidRPr="002D1058">
        <w:t>To reduce expense and waste, we strongly recommend that you use only paper for your file (no plastic folders or dividers). Please also use double-sided printing if possible</w:t>
      </w:r>
    </w:p>
    <w:p w:rsidR="000B5BFC" w:rsidRDefault="00764274" w:rsidP="007C2B43">
      <w:pPr>
        <w:pStyle w:val="Bodytext21"/>
        <w:shd w:val="clear" w:color="auto" w:fill="auto"/>
        <w:spacing w:before="0" w:after="208" w:line="240" w:lineRule="auto"/>
        <w:ind w:firstLine="0"/>
      </w:pPr>
      <w:r w:rsidRPr="002D1058">
        <w:t xml:space="preserve">Applications must be submitted in a sealed envelope by registered mail, private courier service or by </w:t>
      </w:r>
      <w:proofErr w:type="spellStart"/>
      <w:r w:rsidRPr="007869AD">
        <w:rPr>
          <w:lang w:eastAsia="de-DE" w:bidi="de-DE"/>
        </w:rPr>
        <w:t>hand</w:t>
      </w:r>
      <w:r w:rsidRPr="007869AD">
        <w:rPr>
          <w:lang w:eastAsia="de-DE" w:bidi="de-DE"/>
        </w:rPr>
        <w:softHyphen/>
        <w:t>delivery</w:t>
      </w:r>
      <w:proofErr w:type="spellEnd"/>
      <w:r w:rsidRPr="002D1058">
        <w:t xml:space="preserve"> (a signed and dated certificate of receipt will be given to the deliverer) to the address below. Where lead applicants send several applications (if allowed to do so by the guidelines of the call), each one must be sent separately:</w:t>
      </w:r>
    </w:p>
    <w:p w:rsidR="002D1058" w:rsidRPr="00B71447" w:rsidRDefault="002D1058" w:rsidP="009763AA">
      <w:pPr>
        <w:widowControl/>
        <w:spacing w:before="120" w:after="120"/>
        <w:jc w:val="both"/>
        <w:rPr>
          <w:b/>
          <w:noProof/>
          <w:color w:val="auto"/>
          <w:sz w:val="22"/>
          <w:szCs w:val="20"/>
          <w:lang w:bidi="ar-SA"/>
        </w:rPr>
      </w:pPr>
      <w:r w:rsidRPr="00B71447">
        <w:rPr>
          <w:b/>
          <w:noProof/>
          <w:color w:val="auto"/>
          <w:sz w:val="22"/>
          <w:szCs w:val="20"/>
          <w:lang w:bidi="ar-SA"/>
        </w:rPr>
        <w:t>Postal address</w:t>
      </w:r>
      <w:r w:rsidR="00B71447" w:rsidRPr="00B71447">
        <w:rPr>
          <w:b/>
          <w:noProof/>
          <w:color w:val="auto"/>
          <w:sz w:val="22"/>
          <w:szCs w:val="20"/>
          <w:lang w:bidi="ar-SA"/>
        </w:rPr>
        <w:t>:</w:t>
      </w:r>
    </w:p>
    <w:p w:rsidR="002D1058" w:rsidRPr="002D1058" w:rsidRDefault="002D1058" w:rsidP="009763AA">
      <w:pPr>
        <w:widowControl/>
        <w:tabs>
          <w:tab w:val="left" w:pos="1500"/>
        </w:tabs>
        <w:jc w:val="both"/>
        <w:rPr>
          <w:b/>
          <w:noProof/>
          <w:color w:val="auto"/>
          <w:sz w:val="22"/>
          <w:szCs w:val="20"/>
          <w:lang w:bidi="ar-SA"/>
        </w:rPr>
      </w:pPr>
      <w:r w:rsidRPr="002D1058">
        <w:rPr>
          <w:b/>
          <w:noProof/>
          <w:color w:val="auto"/>
          <w:sz w:val="22"/>
          <w:szCs w:val="20"/>
          <w:lang w:bidi="ar-SA"/>
        </w:rPr>
        <w:t>Delegation of the European Union to Ethiopia</w:t>
      </w:r>
    </w:p>
    <w:p w:rsidR="002D1058" w:rsidRPr="002D1058" w:rsidRDefault="002D1058" w:rsidP="009763AA">
      <w:pPr>
        <w:widowControl/>
        <w:tabs>
          <w:tab w:val="left" w:pos="1500"/>
        </w:tabs>
        <w:rPr>
          <w:b/>
          <w:noProof/>
          <w:color w:val="auto"/>
          <w:sz w:val="22"/>
          <w:szCs w:val="20"/>
          <w:lang w:bidi="ar-SA"/>
        </w:rPr>
      </w:pPr>
      <w:r w:rsidRPr="002D1058">
        <w:rPr>
          <w:b/>
          <w:noProof/>
          <w:color w:val="auto"/>
          <w:sz w:val="22"/>
          <w:szCs w:val="20"/>
          <w:lang w:bidi="ar-SA"/>
        </w:rPr>
        <w:t>Finance, Contract and Audit Section</w:t>
      </w:r>
    </w:p>
    <w:p w:rsidR="002D1058" w:rsidRPr="002D1058" w:rsidRDefault="002D1058" w:rsidP="001A23A8">
      <w:pPr>
        <w:widowControl/>
        <w:spacing w:after="120"/>
        <w:rPr>
          <w:b/>
          <w:noProof/>
          <w:color w:val="auto"/>
          <w:sz w:val="22"/>
          <w:szCs w:val="20"/>
          <w:lang w:bidi="ar-SA"/>
        </w:rPr>
      </w:pPr>
      <w:r w:rsidRPr="002D1058">
        <w:rPr>
          <w:b/>
          <w:noProof/>
          <w:color w:val="auto"/>
          <w:sz w:val="22"/>
          <w:szCs w:val="20"/>
          <w:lang w:bidi="ar-SA"/>
        </w:rPr>
        <w:t>Cape-Verde Road</w:t>
      </w:r>
      <w:r w:rsidRPr="002D1058">
        <w:rPr>
          <w:b/>
          <w:noProof/>
          <w:color w:val="auto"/>
          <w:sz w:val="22"/>
          <w:szCs w:val="20"/>
          <w:lang w:bidi="ar-SA"/>
        </w:rPr>
        <w:br/>
        <w:t>P.O. Box 5570, ADDIS AB</w:t>
      </w:r>
      <w:r w:rsidR="00DD2F09">
        <w:rPr>
          <w:b/>
          <w:noProof/>
          <w:color w:val="auto"/>
          <w:sz w:val="22"/>
          <w:szCs w:val="20"/>
          <w:lang w:bidi="ar-SA"/>
        </w:rPr>
        <w:t>A</w:t>
      </w:r>
      <w:r w:rsidRPr="002D1058">
        <w:rPr>
          <w:b/>
          <w:noProof/>
          <w:color w:val="auto"/>
          <w:sz w:val="22"/>
          <w:szCs w:val="20"/>
          <w:lang w:bidi="ar-SA"/>
        </w:rPr>
        <w:t xml:space="preserve">BA  </w:t>
      </w:r>
      <w:r w:rsidRPr="002D1058">
        <w:rPr>
          <w:b/>
          <w:noProof/>
          <w:color w:val="auto"/>
          <w:sz w:val="22"/>
          <w:szCs w:val="20"/>
          <w:lang w:bidi="ar-SA"/>
        </w:rPr>
        <w:br/>
      </w:r>
    </w:p>
    <w:p w:rsidR="002D1058" w:rsidRPr="00B71447" w:rsidRDefault="002D1058" w:rsidP="00480E34">
      <w:pPr>
        <w:widowControl/>
        <w:spacing w:before="120" w:after="120"/>
        <w:jc w:val="both"/>
        <w:rPr>
          <w:b/>
          <w:noProof/>
          <w:color w:val="auto"/>
          <w:sz w:val="22"/>
          <w:szCs w:val="20"/>
          <w:lang w:bidi="ar-SA"/>
        </w:rPr>
      </w:pPr>
      <w:r w:rsidRPr="00B71447">
        <w:rPr>
          <w:b/>
          <w:noProof/>
          <w:color w:val="auto"/>
          <w:sz w:val="22"/>
          <w:szCs w:val="20"/>
          <w:lang w:bidi="ar-SA"/>
        </w:rPr>
        <w:t>Address for hand delivery or by private courier service</w:t>
      </w:r>
      <w:r w:rsidR="00B71447" w:rsidRPr="00B71447">
        <w:rPr>
          <w:b/>
          <w:noProof/>
          <w:color w:val="auto"/>
          <w:sz w:val="22"/>
          <w:szCs w:val="20"/>
          <w:lang w:bidi="ar-SA"/>
        </w:rPr>
        <w:t>:</w:t>
      </w:r>
    </w:p>
    <w:p w:rsidR="002D1058" w:rsidRPr="002D1058" w:rsidRDefault="002D1058" w:rsidP="00480E34">
      <w:pPr>
        <w:widowControl/>
        <w:tabs>
          <w:tab w:val="left" w:pos="1500"/>
        </w:tabs>
        <w:jc w:val="both"/>
        <w:rPr>
          <w:b/>
          <w:noProof/>
          <w:color w:val="auto"/>
          <w:sz w:val="22"/>
          <w:szCs w:val="20"/>
          <w:lang w:bidi="ar-SA"/>
        </w:rPr>
      </w:pPr>
      <w:r w:rsidRPr="002D1058">
        <w:rPr>
          <w:b/>
          <w:noProof/>
          <w:color w:val="auto"/>
          <w:sz w:val="22"/>
          <w:szCs w:val="20"/>
          <w:lang w:bidi="ar-SA"/>
        </w:rPr>
        <w:t>Delegation of the European Union to Ethiopia</w:t>
      </w:r>
    </w:p>
    <w:p w:rsidR="002D1058" w:rsidRPr="002D1058" w:rsidRDefault="002D1058">
      <w:pPr>
        <w:widowControl/>
        <w:tabs>
          <w:tab w:val="left" w:pos="1500"/>
        </w:tabs>
        <w:rPr>
          <w:b/>
          <w:noProof/>
          <w:color w:val="auto"/>
          <w:sz w:val="22"/>
          <w:szCs w:val="20"/>
          <w:lang w:bidi="ar-SA"/>
        </w:rPr>
      </w:pPr>
      <w:r w:rsidRPr="002D1058">
        <w:rPr>
          <w:b/>
          <w:noProof/>
          <w:color w:val="auto"/>
          <w:sz w:val="22"/>
          <w:szCs w:val="20"/>
          <w:lang w:bidi="ar-SA"/>
        </w:rPr>
        <w:t>Finance, Contract and Audit Section</w:t>
      </w:r>
    </w:p>
    <w:p w:rsidR="002D1058" w:rsidRPr="002D1058" w:rsidRDefault="002D1058" w:rsidP="001A23A8">
      <w:pPr>
        <w:widowControl/>
        <w:tabs>
          <w:tab w:val="left" w:pos="1500"/>
        </w:tabs>
        <w:rPr>
          <w:b/>
          <w:noProof/>
          <w:color w:val="auto"/>
          <w:sz w:val="22"/>
          <w:szCs w:val="20"/>
          <w:lang w:bidi="ar-SA"/>
        </w:rPr>
      </w:pPr>
      <w:r w:rsidRPr="002D1058">
        <w:rPr>
          <w:b/>
          <w:noProof/>
          <w:color w:val="auto"/>
          <w:sz w:val="22"/>
          <w:szCs w:val="20"/>
          <w:lang w:bidi="ar-SA"/>
        </w:rPr>
        <w:t>Cape-Verde Road (Opposite Desalegn Hotel)</w:t>
      </w:r>
      <w:r w:rsidRPr="002D1058">
        <w:rPr>
          <w:b/>
          <w:noProof/>
          <w:color w:val="auto"/>
          <w:sz w:val="22"/>
          <w:szCs w:val="20"/>
          <w:lang w:bidi="ar-SA"/>
        </w:rPr>
        <w:br/>
        <w:t>P.O. Box 5570, ADDIS AB</w:t>
      </w:r>
      <w:r w:rsidR="00DD2F09">
        <w:rPr>
          <w:b/>
          <w:noProof/>
          <w:color w:val="auto"/>
          <w:sz w:val="22"/>
          <w:szCs w:val="20"/>
          <w:lang w:bidi="ar-SA"/>
        </w:rPr>
        <w:t>A</w:t>
      </w:r>
      <w:r w:rsidRPr="002D1058">
        <w:rPr>
          <w:b/>
          <w:noProof/>
          <w:color w:val="auto"/>
          <w:sz w:val="22"/>
          <w:szCs w:val="20"/>
          <w:lang w:bidi="ar-SA"/>
        </w:rPr>
        <w:t xml:space="preserve">BA  </w:t>
      </w:r>
      <w:r w:rsidRPr="002D1058">
        <w:rPr>
          <w:b/>
          <w:noProof/>
          <w:color w:val="auto"/>
          <w:sz w:val="22"/>
          <w:szCs w:val="20"/>
          <w:lang w:bidi="ar-SA"/>
        </w:rPr>
        <w:br/>
      </w:r>
      <w:r w:rsidR="001A23A8">
        <w:rPr>
          <w:sz w:val="22"/>
          <w:szCs w:val="22"/>
        </w:rPr>
        <w:t>Opening hours Monday to Friday 8:30 am – 12:30 pm and 1:30 pm – 4:30 pm</w:t>
      </w:r>
    </w:p>
    <w:p w:rsidR="002D1058" w:rsidRPr="002D1058" w:rsidRDefault="002D1058" w:rsidP="00480E34">
      <w:pPr>
        <w:widowControl/>
        <w:spacing w:before="120" w:after="120"/>
        <w:jc w:val="both"/>
        <w:rPr>
          <w:sz w:val="22"/>
          <w:szCs w:val="20"/>
          <w:highlight w:val="lightGray"/>
          <w:lang w:bidi="ar-SA"/>
        </w:rPr>
      </w:pPr>
      <w:r w:rsidRPr="002D1058">
        <w:rPr>
          <w:color w:val="auto"/>
          <w:sz w:val="22"/>
          <w:szCs w:val="20"/>
          <w:lang w:bidi="ar-SA"/>
        </w:rPr>
        <w:t xml:space="preserve">The envelope must bear the </w:t>
      </w:r>
      <w:r w:rsidRPr="002D1058">
        <w:rPr>
          <w:b/>
          <w:color w:val="auto"/>
          <w:sz w:val="22"/>
          <w:szCs w:val="20"/>
          <w:lang w:bidi="ar-SA"/>
        </w:rPr>
        <w:t>reference number and the title of the call for proposals</w:t>
      </w:r>
      <w:r w:rsidRPr="002D1058">
        <w:rPr>
          <w:color w:val="auto"/>
          <w:sz w:val="22"/>
          <w:szCs w:val="20"/>
          <w:lang w:bidi="ar-SA"/>
        </w:rPr>
        <w:t>, together with the number and title of the lot, the full name and address of the lead applicant, and the words ‘Not to be opened before the opening session’ and</w:t>
      </w:r>
      <w:r w:rsidR="00C54D4D">
        <w:rPr>
          <w:color w:val="auto"/>
          <w:sz w:val="22"/>
          <w:szCs w:val="20"/>
          <w:lang w:bidi="ar-SA"/>
        </w:rPr>
        <w:t xml:space="preserve"> </w:t>
      </w:r>
      <w:r w:rsidRPr="002D1058">
        <w:rPr>
          <w:color w:val="auto"/>
          <w:sz w:val="22"/>
          <w:szCs w:val="20"/>
          <w:lang w:bidi="ar-SA"/>
        </w:rPr>
        <w:t>‘</w:t>
      </w:r>
      <w:proofErr w:type="spellStart"/>
      <w:r w:rsidRPr="002D1058">
        <w:rPr>
          <w:rFonts w:ascii="Nyala" w:hAnsi="Nyala"/>
          <w:color w:val="auto"/>
          <w:sz w:val="22"/>
          <w:szCs w:val="22"/>
          <w:lang w:bidi="ar-SA"/>
        </w:rPr>
        <w:t>ከጨረታ</w:t>
      </w:r>
      <w:proofErr w:type="spellEnd"/>
      <w:r w:rsidR="00C54D4D">
        <w:rPr>
          <w:rFonts w:ascii="Nyala" w:hAnsi="Nyala"/>
          <w:color w:val="auto"/>
          <w:sz w:val="22"/>
          <w:szCs w:val="22"/>
          <w:lang w:bidi="ar-SA"/>
        </w:rPr>
        <w:t xml:space="preserve"> </w:t>
      </w:r>
      <w:proofErr w:type="spellStart"/>
      <w:r w:rsidRPr="002D1058">
        <w:rPr>
          <w:rFonts w:ascii="Nyala" w:hAnsi="Nyala"/>
          <w:color w:val="auto"/>
          <w:sz w:val="22"/>
          <w:szCs w:val="22"/>
          <w:lang w:bidi="ar-SA"/>
        </w:rPr>
        <w:t>ሰዓት</w:t>
      </w:r>
      <w:proofErr w:type="spellEnd"/>
      <w:r w:rsidR="00C54D4D">
        <w:rPr>
          <w:rFonts w:ascii="Nyala" w:hAnsi="Nyala"/>
          <w:color w:val="auto"/>
          <w:sz w:val="22"/>
          <w:szCs w:val="22"/>
          <w:lang w:bidi="ar-SA"/>
        </w:rPr>
        <w:t xml:space="preserve"> </w:t>
      </w:r>
      <w:proofErr w:type="spellStart"/>
      <w:r w:rsidRPr="002D1058">
        <w:rPr>
          <w:rFonts w:ascii="Nyala" w:hAnsi="Nyala"/>
          <w:color w:val="auto"/>
          <w:sz w:val="22"/>
          <w:szCs w:val="22"/>
          <w:lang w:bidi="ar-SA"/>
        </w:rPr>
        <w:t>በፊት</w:t>
      </w:r>
      <w:proofErr w:type="spellEnd"/>
      <w:r w:rsidR="00C54D4D">
        <w:rPr>
          <w:rFonts w:ascii="Nyala" w:hAnsi="Nyala"/>
          <w:color w:val="auto"/>
          <w:sz w:val="22"/>
          <w:szCs w:val="22"/>
          <w:lang w:bidi="ar-SA"/>
        </w:rPr>
        <w:t xml:space="preserve"> </w:t>
      </w:r>
      <w:proofErr w:type="spellStart"/>
      <w:r w:rsidRPr="002D1058">
        <w:rPr>
          <w:rFonts w:ascii="Nyala" w:hAnsi="Nyala"/>
          <w:color w:val="auto"/>
          <w:sz w:val="22"/>
          <w:szCs w:val="22"/>
          <w:lang w:bidi="ar-SA"/>
        </w:rPr>
        <w:t>እንዳይከፈት</w:t>
      </w:r>
      <w:proofErr w:type="spellEnd"/>
      <w:r w:rsidRPr="002D1058">
        <w:rPr>
          <w:i/>
          <w:color w:val="auto"/>
          <w:sz w:val="22"/>
          <w:szCs w:val="20"/>
          <w:lang w:bidi="ar-SA"/>
        </w:rPr>
        <w:t>’</w:t>
      </w:r>
    </w:p>
    <w:p w:rsidR="002D1058" w:rsidRPr="002D1058" w:rsidRDefault="002D1058" w:rsidP="00480E34">
      <w:pPr>
        <w:widowControl/>
        <w:spacing w:before="120" w:after="120"/>
        <w:jc w:val="both"/>
        <w:rPr>
          <w:sz w:val="22"/>
          <w:szCs w:val="20"/>
          <w:lang w:bidi="ar-SA"/>
        </w:rPr>
      </w:pPr>
      <w:r w:rsidRPr="002D1058">
        <w:rPr>
          <w:sz w:val="22"/>
          <w:szCs w:val="20"/>
          <w:lang w:bidi="ar-SA"/>
        </w:rPr>
        <w:t>Applications sent by any other means (e.g. by fax or by e-mail) or delivered to other addresses will be rejected.</w:t>
      </w:r>
      <w:r w:rsidRPr="002D1058">
        <w:rPr>
          <w:color w:val="auto"/>
          <w:sz w:val="22"/>
          <w:szCs w:val="20"/>
          <w:lang w:bidi="ar-SA"/>
        </w:rPr>
        <w:t xml:space="preserve"> Hand-written applications will not be accepted.</w:t>
      </w:r>
    </w:p>
    <w:p w:rsidR="002D1058" w:rsidRPr="002D1058" w:rsidRDefault="002D1058">
      <w:pPr>
        <w:widowControl/>
        <w:spacing w:before="120" w:after="120"/>
        <w:jc w:val="both"/>
        <w:rPr>
          <w:sz w:val="6"/>
          <w:szCs w:val="20"/>
          <w:lang w:bidi="ar-SA"/>
        </w:rPr>
      </w:pPr>
    </w:p>
    <w:p w:rsidR="002D1058" w:rsidRPr="002D1058" w:rsidRDefault="002D1058">
      <w:pPr>
        <w:widowControl/>
        <w:spacing w:before="120" w:after="120"/>
        <w:jc w:val="both"/>
        <w:rPr>
          <w:b/>
          <w:color w:val="auto"/>
          <w:sz w:val="22"/>
          <w:szCs w:val="20"/>
          <w:lang w:bidi="ar-SA"/>
        </w:rPr>
      </w:pPr>
      <w:r w:rsidRPr="002D1058">
        <w:rPr>
          <w:b/>
          <w:color w:val="auto"/>
          <w:sz w:val="22"/>
          <w:szCs w:val="20"/>
          <w:lang w:bidi="ar-SA"/>
        </w:rPr>
        <w:t>Please note that incomplete applications may be rejected.</w:t>
      </w:r>
      <w:r w:rsidR="00536174">
        <w:rPr>
          <w:b/>
          <w:color w:val="auto"/>
          <w:sz w:val="22"/>
          <w:szCs w:val="20"/>
          <w:lang w:bidi="ar-SA"/>
        </w:rPr>
        <w:t xml:space="preserve">  </w:t>
      </w:r>
      <w:r w:rsidRPr="002D1058">
        <w:rPr>
          <w:color w:val="auto"/>
          <w:sz w:val="22"/>
          <w:szCs w:val="20"/>
          <w:lang w:bidi="ar-SA"/>
        </w:rPr>
        <w:t>Lead applicants are advised to verify that their application is complete using the checklist</w:t>
      </w:r>
      <w:r w:rsidR="00AF53CD">
        <w:rPr>
          <w:color w:val="auto"/>
          <w:sz w:val="22"/>
          <w:szCs w:val="20"/>
          <w:lang w:bidi="ar-SA"/>
        </w:rPr>
        <w:t xml:space="preserve"> </w:t>
      </w:r>
      <w:r w:rsidRPr="002D1058">
        <w:rPr>
          <w:color w:val="auto"/>
          <w:sz w:val="22"/>
          <w:szCs w:val="20"/>
          <w:lang w:bidi="ar-SA"/>
        </w:rPr>
        <w:t xml:space="preserve">(Annex </w:t>
      </w:r>
      <w:r w:rsidR="00B71447" w:rsidRPr="002D1058">
        <w:rPr>
          <w:color w:val="auto"/>
          <w:sz w:val="22"/>
          <w:szCs w:val="20"/>
          <w:lang w:bidi="ar-SA"/>
        </w:rPr>
        <w:t>A.2 Instructions</w:t>
      </w:r>
      <w:r w:rsidRPr="002D1058">
        <w:rPr>
          <w:color w:val="auto"/>
          <w:sz w:val="22"/>
          <w:szCs w:val="20"/>
          <w:lang w:bidi="ar-SA"/>
        </w:rPr>
        <w:t>).</w:t>
      </w:r>
    </w:p>
    <w:p w:rsidR="002D1058" w:rsidRDefault="002D1058" w:rsidP="007C2B43">
      <w:pPr>
        <w:pStyle w:val="Bodytext21"/>
        <w:shd w:val="clear" w:color="auto" w:fill="auto"/>
        <w:spacing w:before="0" w:after="208" w:line="240" w:lineRule="auto"/>
        <w:ind w:firstLine="0"/>
      </w:pPr>
    </w:p>
    <w:p w:rsidR="000B5BFC" w:rsidRPr="00221B90" w:rsidRDefault="00221B90" w:rsidP="009763AA">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43" w:name="bookmark24"/>
      <w:bookmarkStart w:id="44" w:name="_Toc5010062"/>
      <w:r>
        <w:rPr>
          <w:rFonts w:ascii="Times New Roman" w:hAnsi="Times New Roman" w:cs="Times New Roman"/>
          <w:i/>
          <w:color w:val="auto"/>
        </w:rPr>
        <w:t xml:space="preserve">2.2.7. </w:t>
      </w:r>
      <w:r w:rsidR="00764274" w:rsidRPr="00221B90">
        <w:rPr>
          <w:rFonts w:ascii="Times New Roman" w:hAnsi="Times New Roman" w:cs="Times New Roman"/>
          <w:i/>
          <w:color w:val="auto"/>
        </w:rPr>
        <w:t>Deadline for submission of</w:t>
      </w:r>
      <w:r w:rsidR="00096963">
        <w:rPr>
          <w:rFonts w:ascii="Times New Roman" w:hAnsi="Times New Roman" w:cs="Times New Roman"/>
          <w:i/>
          <w:color w:val="auto"/>
        </w:rPr>
        <w:t xml:space="preserve"> </w:t>
      </w:r>
      <w:r w:rsidR="00764274" w:rsidRPr="00221B90">
        <w:rPr>
          <w:rFonts w:ascii="Times New Roman" w:hAnsi="Times New Roman" w:cs="Times New Roman"/>
          <w:i/>
          <w:color w:val="auto"/>
        </w:rPr>
        <w:t>full applications</w:t>
      </w:r>
      <w:bookmarkEnd w:id="43"/>
      <w:bookmarkEnd w:id="44"/>
    </w:p>
    <w:p w:rsidR="00096963" w:rsidRDefault="00096963"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 xml:space="preserve">The deadline </w:t>
      </w:r>
      <w:r w:rsidRPr="007869AD">
        <w:rPr>
          <w:lang w:eastAsia="da-DK" w:bidi="da-DK"/>
        </w:rPr>
        <w:t xml:space="preserve">for </w:t>
      </w:r>
      <w:r>
        <w:t>the submission of full applications will be indicated in the letter sent to the lead applicants whose application has been pre-selected. This letter will appear online automatically in the PROSPECT profile of the lead applicant. Lead applicants who, in exceptional cases (see section 2.2.6) had to submit their application by post or hand-delivery, will receive the letter by email or by post if no e-mail address was provided.</w:t>
      </w:r>
    </w:p>
    <w:p w:rsidR="00A92B30" w:rsidRDefault="00A92B30" w:rsidP="007C2B43">
      <w:pPr>
        <w:pStyle w:val="Bodytext21"/>
        <w:shd w:val="clear" w:color="auto" w:fill="auto"/>
        <w:spacing w:before="0" w:after="0" w:line="240" w:lineRule="auto"/>
        <w:ind w:firstLine="0"/>
      </w:pPr>
    </w:p>
    <w:p w:rsidR="000B5BFC" w:rsidRDefault="00764274" w:rsidP="007C2B43">
      <w:pPr>
        <w:pStyle w:val="Bodytext51"/>
        <w:shd w:val="clear" w:color="auto" w:fill="auto"/>
        <w:spacing w:before="0" w:after="0" w:line="240" w:lineRule="auto"/>
        <w:ind w:firstLine="0"/>
        <w:rPr>
          <w:b w:val="0"/>
        </w:rPr>
      </w:pPr>
      <w:r>
        <w:t xml:space="preserve">Lead applicants are strongly advised </w:t>
      </w:r>
      <w:r>
        <w:rPr>
          <w:lang w:val="cs-CZ" w:eastAsia="cs-CZ" w:bidi="cs-CZ"/>
        </w:rPr>
        <w:t xml:space="preserve">not </w:t>
      </w:r>
      <w:r>
        <w:t xml:space="preserve">to wait until the last day to submit their full </w:t>
      </w:r>
      <w:proofErr w:type="gramStart"/>
      <w:r>
        <w:t>applications</w:t>
      </w:r>
      <w:r>
        <w:rPr>
          <w:rStyle w:val="Bodytext5NotBold"/>
        </w:rPr>
        <w:t>,</w:t>
      </w:r>
      <w:r w:rsidRPr="00DB6357">
        <w:rPr>
          <w:b w:val="0"/>
        </w:rPr>
        <w:t>since</w:t>
      </w:r>
      <w:proofErr w:type="gramEnd"/>
      <w:r w:rsidRPr="00DB6357">
        <w:rPr>
          <w:b w:val="0"/>
        </w:rPr>
        <w:t xml:space="preserve"> heavy Internet traffic or a fault with the Internet connection (including electricity failure, etc.) could lead to difficulties in submission. The Contacting Authority cannot be held responsible </w:t>
      </w:r>
      <w:r w:rsidRPr="00DB6357">
        <w:rPr>
          <w:b w:val="0"/>
          <w:lang w:eastAsia="da-DK" w:bidi="da-DK"/>
        </w:rPr>
        <w:t xml:space="preserve">for </w:t>
      </w:r>
      <w:r w:rsidRPr="00DB6357">
        <w:rPr>
          <w:b w:val="0"/>
        </w:rPr>
        <w:t>any delay due to such afore-mentioned difficulties.</w:t>
      </w:r>
    </w:p>
    <w:p w:rsidR="00DD2F09" w:rsidRDefault="00DD2F09" w:rsidP="009763AA">
      <w:pPr>
        <w:rPr>
          <w:sz w:val="22"/>
          <w:szCs w:val="22"/>
        </w:rPr>
      </w:pPr>
    </w:p>
    <w:p w:rsidR="000B5BFC" w:rsidRDefault="00764274" w:rsidP="007C2B43">
      <w:pPr>
        <w:pStyle w:val="Bodytext21"/>
        <w:shd w:val="clear" w:color="auto" w:fill="auto"/>
        <w:spacing w:before="0" w:after="432" w:line="240" w:lineRule="auto"/>
        <w:ind w:firstLine="0"/>
      </w:pPr>
      <w:r w:rsidRPr="004E0DDA">
        <w:t xml:space="preserve">In the case of submission by post (see section 2.2.6), the date of submission is evidenced by the date of dispatch, the postmark or the date of the deposit slip. In the case of hand-deliveries, the deadline for receipt is </w:t>
      </w:r>
      <w:r w:rsidRPr="004E0DDA">
        <w:lastRenderedPageBreak/>
        <w:t>at</w:t>
      </w:r>
      <w:r w:rsidR="004E0DDA" w:rsidRPr="004E0DDA">
        <w:t xml:space="preserve"> </w:t>
      </w:r>
      <w:r w:rsidR="001A23A8">
        <w:t>16:30</w:t>
      </w:r>
      <w:r w:rsidR="001A23A8" w:rsidRPr="004E0DDA">
        <w:t xml:space="preserve"> </w:t>
      </w:r>
      <w:r w:rsidRPr="004E0DDA">
        <w:t>hours local time</w:t>
      </w:r>
      <w:r w:rsidRPr="004E0DDA">
        <w:rPr>
          <w:vertAlign w:val="superscript"/>
        </w:rPr>
        <w:footnoteReference w:id="19"/>
      </w:r>
      <w:r w:rsidRPr="004E0DDA">
        <w:t xml:space="preserve"> as evidenced by the signed and dated receipt.</w:t>
      </w:r>
    </w:p>
    <w:p w:rsidR="000B5BFC" w:rsidRDefault="00764274" w:rsidP="007C2B43">
      <w:pPr>
        <w:pStyle w:val="Bodytext21"/>
        <w:shd w:val="clear" w:color="auto" w:fill="auto"/>
        <w:spacing w:before="0" w:after="412" w:line="240" w:lineRule="auto"/>
        <w:ind w:firstLine="0"/>
      </w:pPr>
      <w:r>
        <w:t>Any application submitted after the deadline will be rejected.</w:t>
      </w:r>
    </w:p>
    <w:p w:rsidR="000B5BFC" w:rsidRDefault="00764274" w:rsidP="007C2B43">
      <w:pPr>
        <w:pStyle w:val="Bodytext21"/>
        <w:shd w:val="clear" w:color="auto" w:fill="auto"/>
        <w:spacing w:before="0" w:after="0" w:line="240" w:lineRule="auto"/>
        <w:ind w:firstLine="0"/>
      </w:pPr>
      <w:r>
        <w:t>However, for reasons of administrative efficiency, the Contracting Authority may also reject any full application sent in due time but received after the effective date of approval of the full application evaluation (see indicative calendar under section 2.5. 2)</w:t>
      </w:r>
      <w:r w:rsidR="004E0DDA">
        <w:t>.</w:t>
      </w:r>
    </w:p>
    <w:p w:rsidR="000E6F20" w:rsidRDefault="000E6F20" w:rsidP="007C2B43">
      <w:pPr>
        <w:pStyle w:val="Bodytext21"/>
        <w:shd w:val="clear" w:color="auto" w:fill="auto"/>
        <w:spacing w:before="0" w:after="0" w:line="240" w:lineRule="auto"/>
        <w:ind w:firstLine="0"/>
      </w:pPr>
    </w:p>
    <w:p w:rsidR="000B5BFC" w:rsidRPr="00AC6858" w:rsidRDefault="00AC6858" w:rsidP="009763AA">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45" w:name="bookmark25"/>
      <w:bookmarkStart w:id="46" w:name="_Toc5010063"/>
      <w:bookmarkStart w:id="47" w:name="_Hlk801969"/>
      <w:r>
        <w:rPr>
          <w:rFonts w:ascii="Times New Roman" w:hAnsi="Times New Roman" w:cs="Times New Roman"/>
          <w:i/>
          <w:color w:val="auto"/>
        </w:rPr>
        <w:t xml:space="preserve">2.2.8. </w:t>
      </w:r>
      <w:r w:rsidR="00764274" w:rsidRPr="00AC6858">
        <w:rPr>
          <w:rFonts w:ascii="Times New Roman" w:hAnsi="Times New Roman" w:cs="Times New Roman"/>
          <w:i/>
          <w:color w:val="auto"/>
        </w:rPr>
        <w:t>Further information about full applications</w:t>
      </w:r>
      <w:bookmarkEnd w:id="45"/>
      <w:bookmarkEnd w:id="46"/>
    </w:p>
    <w:bookmarkEnd w:id="47"/>
    <w:p w:rsidR="000B5BFC" w:rsidRDefault="000B5BFC" w:rsidP="009763AA">
      <w:pPr>
        <w:rPr>
          <w:sz w:val="2"/>
          <w:szCs w:val="2"/>
        </w:rPr>
      </w:pPr>
    </w:p>
    <w:p w:rsidR="004E0DDA" w:rsidRPr="004E0DDA" w:rsidRDefault="004E0DDA" w:rsidP="009763AA">
      <w:pPr>
        <w:widowControl/>
        <w:spacing w:before="240" w:after="120"/>
        <w:jc w:val="both"/>
        <w:rPr>
          <w:color w:val="auto"/>
          <w:sz w:val="22"/>
          <w:szCs w:val="20"/>
          <w:lang w:bidi="ar-SA"/>
        </w:rPr>
      </w:pPr>
      <w:r w:rsidRPr="004E0DDA">
        <w:rPr>
          <w:color w:val="auto"/>
          <w:sz w:val="22"/>
          <w:szCs w:val="20"/>
          <w:lang w:bidi="ar-SA"/>
        </w:rPr>
        <w:t>Questions may be sent by e-mail no later than 21 days before the deadline for the submission of full applications to the addresses listed below, indicating clearly the reference of the call for proposals:</w:t>
      </w:r>
    </w:p>
    <w:p w:rsidR="004E0DDA" w:rsidRDefault="004E0DDA" w:rsidP="001A23A8">
      <w:pPr>
        <w:widowControl/>
        <w:spacing w:before="120" w:after="120"/>
        <w:jc w:val="both"/>
        <w:rPr>
          <w:color w:val="auto"/>
          <w:sz w:val="22"/>
          <w:szCs w:val="20"/>
          <w:lang w:bidi="ar-SA"/>
        </w:rPr>
      </w:pPr>
      <w:r w:rsidRPr="004E0DDA">
        <w:rPr>
          <w:color w:val="auto"/>
          <w:sz w:val="22"/>
          <w:szCs w:val="20"/>
          <w:lang w:bidi="ar-SA"/>
        </w:rPr>
        <w:t>E-mail address</w:t>
      </w:r>
      <w:r>
        <w:rPr>
          <w:color w:val="auto"/>
          <w:sz w:val="22"/>
          <w:szCs w:val="20"/>
          <w:lang w:bidi="ar-SA"/>
        </w:rPr>
        <w:t>es</w:t>
      </w:r>
      <w:r w:rsidRPr="004E0DDA">
        <w:rPr>
          <w:color w:val="auto"/>
          <w:sz w:val="22"/>
          <w:szCs w:val="20"/>
          <w:lang w:bidi="ar-SA"/>
        </w:rPr>
        <w:t>:</w:t>
      </w:r>
    </w:p>
    <w:p w:rsidR="004E0DDA" w:rsidRPr="00401FA8" w:rsidRDefault="006A0C0F" w:rsidP="00480E34">
      <w:pPr>
        <w:widowControl/>
        <w:spacing w:before="120" w:after="120"/>
        <w:jc w:val="both"/>
        <w:rPr>
          <w:sz w:val="22"/>
          <w:szCs w:val="22"/>
        </w:rPr>
      </w:pPr>
      <w:hyperlink r:id="rId23" w:history="1">
        <w:r w:rsidR="003D7F93" w:rsidRPr="00401FA8">
          <w:rPr>
            <w:rStyle w:val="Hyperlink"/>
            <w:sz w:val="22"/>
            <w:szCs w:val="22"/>
          </w:rPr>
          <w:t>DELEGATION-ETHIOPIA-CSFIII@eeas.europa.eu</w:t>
        </w:r>
      </w:hyperlink>
    </w:p>
    <w:p w:rsidR="004E0DDA" w:rsidRPr="00401FA8" w:rsidRDefault="004E0DDA" w:rsidP="00480E34">
      <w:pPr>
        <w:pStyle w:val="NoSpacing"/>
        <w:rPr>
          <w:sz w:val="22"/>
          <w:szCs w:val="22"/>
          <w:lang w:bidi="ar-SA"/>
        </w:rPr>
      </w:pPr>
      <w:r w:rsidRPr="00401FA8">
        <w:rPr>
          <w:sz w:val="22"/>
          <w:szCs w:val="22"/>
          <w:lang w:bidi="ar-SA"/>
        </w:rPr>
        <w:t>The Contracting Authority has no obligation to provide clarifications to questions received after this date.</w:t>
      </w:r>
      <w:r w:rsidR="00A92B30">
        <w:rPr>
          <w:sz w:val="22"/>
          <w:szCs w:val="22"/>
          <w:lang w:bidi="ar-SA"/>
        </w:rPr>
        <w:t xml:space="preserve">  </w:t>
      </w:r>
      <w:r w:rsidRPr="00401FA8">
        <w:rPr>
          <w:sz w:val="22"/>
          <w:szCs w:val="22"/>
          <w:lang w:bidi="ar-SA"/>
        </w:rPr>
        <w:t xml:space="preserve">Replies will be given no later than 11 days before the deadline for the submission of applications. </w:t>
      </w:r>
    </w:p>
    <w:p w:rsidR="004E0DDA" w:rsidRPr="00401FA8" w:rsidRDefault="004E0DDA">
      <w:pPr>
        <w:pStyle w:val="NoSpacing"/>
        <w:rPr>
          <w:sz w:val="22"/>
          <w:szCs w:val="22"/>
        </w:rPr>
      </w:pPr>
    </w:p>
    <w:p w:rsidR="000B5BFC" w:rsidRDefault="00764274">
      <w:pPr>
        <w:pStyle w:val="NoSpacing"/>
        <w:rPr>
          <w:sz w:val="22"/>
          <w:szCs w:val="22"/>
        </w:rPr>
      </w:pPr>
      <w:r w:rsidRPr="00401FA8">
        <w:rPr>
          <w:sz w:val="22"/>
          <w:szCs w:val="22"/>
        </w:rPr>
        <w:t>To ensure equal treatment of applicants, the contracting authority cannot give a prior opinion on the eligibility of lead applicants, co-applicants, affiliated entity(</w:t>
      </w:r>
      <w:proofErr w:type="spellStart"/>
      <w:r w:rsidRPr="00401FA8">
        <w:rPr>
          <w:sz w:val="22"/>
          <w:szCs w:val="22"/>
        </w:rPr>
        <w:t>ies</w:t>
      </w:r>
      <w:proofErr w:type="spellEnd"/>
      <w:r w:rsidRPr="00401FA8">
        <w:rPr>
          <w:sz w:val="22"/>
          <w:szCs w:val="22"/>
        </w:rPr>
        <w:t>), or an action.</w:t>
      </w:r>
    </w:p>
    <w:p w:rsidR="00401FA8" w:rsidRPr="00401FA8" w:rsidRDefault="00401FA8">
      <w:pPr>
        <w:pStyle w:val="NoSpacing"/>
        <w:rPr>
          <w:sz w:val="22"/>
          <w:szCs w:val="22"/>
        </w:rPr>
      </w:pPr>
    </w:p>
    <w:p w:rsidR="00C627F7" w:rsidRPr="00401FA8" w:rsidRDefault="00764274">
      <w:pPr>
        <w:pStyle w:val="NoSpacing"/>
        <w:rPr>
          <w:sz w:val="22"/>
          <w:szCs w:val="22"/>
        </w:rPr>
      </w:pPr>
      <w:r w:rsidRPr="00401FA8">
        <w:rPr>
          <w:sz w:val="22"/>
          <w:szCs w:val="22"/>
        </w:rPr>
        <w:t>No individual replies will be given to questions. All questions and answers as well as other important notices to applicants during the course of the evaluation procedure, will be published on the website of DG International Cooperation and Development</w:t>
      </w:r>
      <w:r w:rsidR="00C627F7" w:rsidRPr="00401FA8">
        <w:rPr>
          <w:sz w:val="22"/>
          <w:szCs w:val="22"/>
        </w:rPr>
        <w:t>:</w:t>
      </w:r>
    </w:p>
    <w:p w:rsidR="00DB6357" w:rsidRDefault="00DB6357" w:rsidP="007C2B43">
      <w:pPr>
        <w:pStyle w:val="Bodytext21"/>
        <w:shd w:val="clear" w:color="auto" w:fill="auto"/>
        <w:tabs>
          <w:tab w:val="left" w:pos="5520"/>
        </w:tabs>
        <w:spacing w:before="0" w:after="0" w:line="240" w:lineRule="auto"/>
        <w:ind w:firstLine="0"/>
      </w:pPr>
    </w:p>
    <w:p w:rsidR="00C627F7" w:rsidRDefault="006A0C0F" w:rsidP="007C2B43">
      <w:pPr>
        <w:pStyle w:val="Bodytext21"/>
        <w:shd w:val="clear" w:color="auto" w:fill="auto"/>
        <w:tabs>
          <w:tab w:val="left" w:pos="5520"/>
        </w:tabs>
        <w:spacing w:before="0" w:after="0" w:line="240" w:lineRule="auto"/>
        <w:ind w:firstLine="0"/>
      </w:pPr>
      <w:hyperlink r:id="rId24" w:history="1">
        <w:r w:rsidR="00C627F7" w:rsidRPr="00227FBD">
          <w:rPr>
            <w:rStyle w:val="Hyperlink"/>
          </w:rPr>
          <w:t>https://webgate.ec.europa.eu/europeaid/online-</w:t>
        </w:r>
      </w:hyperlink>
      <w:hyperlink r:id="rId25" w:history="1">
        <w:r w:rsidR="00764274">
          <w:rPr>
            <w:rStyle w:val="Bodytext27"/>
          </w:rPr>
          <w:t>services/</w:t>
        </w:r>
        <w:proofErr w:type="spellStart"/>
        <w:r w:rsidR="00764274">
          <w:rPr>
            <w:rStyle w:val="Bodytext27"/>
          </w:rPr>
          <w:t>index.cfm?do</w:t>
        </w:r>
        <w:proofErr w:type="spellEnd"/>
        <w:r w:rsidR="00764274">
          <w:rPr>
            <w:rStyle w:val="Bodytext27"/>
          </w:rPr>
          <w:t>=</w:t>
        </w:r>
        <w:proofErr w:type="spellStart"/>
        <w:r w:rsidR="00764274">
          <w:rPr>
            <w:rStyle w:val="Bodytext27"/>
          </w:rPr>
          <w:t>publi.welcome</w:t>
        </w:r>
        <w:proofErr w:type="spellEnd"/>
      </w:hyperlink>
    </w:p>
    <w:p w:rsidR="00C627F7" w:rsidRDefault="00C627F7" w:rsidP="007C2B43">
      <w:pPr>
        <w:pStyle w:val="Bodytext21"/>
        <w:shd w:val="clear" w:color="auto" w:fill="auto"/>
        <w:tabs>
          <w:tab w:val="left" w:pos="5520"/>
        </w:tabs>
        <w:spacing w:before="0" w:after="0" w:line="240" w:lineRule="auto"/>
        <w:ind w:firstLine="0"/>
      </w:pPr>
    </w:p>
    <w:p w:rsidR="000B5BFC" w:rsidRDefault="00764274" w:rsidP="007C2B43">
      <w:pPr>
        <w:pStyle w:val="Bodytext21"/>
        <w:shd w:val="clear" w:color="auto" w:fill="auto"/>
        <w:tabs>
          <w:tab w:val="left" w:pos="5520"/>
        </w:tabs>
        <w:spacing w:before="0" w:after="0" w:line="240" w:lineRule="auto"/>
        <w:ind w:firstLine="0"/>
      </w:pPr>
      <w:r>
        <w:t>as the need arises. It is therefore advisable to consult the above</w:t>
      </w:r>
      <w:r w:rsidR="00C627F7">
        <w:t>-</w:t>
      </w:r>
      <w:r>
        <w:t>mentioned website regularly in order to be informed of the questions and answers published.</w:t>
      </w:r>
    </w:p>
    <w:p w:rsidR="00C627F7" w:rsidRDefault="00C627F7" w:rsidP="007C2B43">
      <w:pPr>
        <w:pStyle w:val="Bodytext21"/>
        <w:shd w:val="clear" w:color="auto" w:fill="auto"/>
        <w:tabs>
          <w:tab w:val="left" w:pos="5520"/>
        </w:tabs>
        <w:spacing w:before="0" w:after="0" w:line="240" w:lineRule="auto"/>
        <w:ind w:firstLine="0"/>
      </w:pPr>
    </w:p>
    <w:p w:rsidR="000B5BFC" w:rsidRDefault="00764274" w:rsidP="007C2B43">
      <w:pPr>
        <w:pStyle w:val="Bodytext21"/>
        <w:shd w:val="clear" w:color="auto" w:fill="auto"/>
        <w:spacing w:before="0" w:after="465" w:line="240" w:lineRule="auto"/>
        <w:ind w:firstLine="0"/>
      </w:pPr>
      <w:bookmarkStart w:id="48" w:name="bookmark26"/>
      <w:bookmarkStart w:id="49" w:name="_Hlk536460565"/>
      <w:r>
        <w:t>All questions related to registration in PADOR or the online submission via PROSPECT should be addressed to the IT helpdesk at</w:t>
      </w:r>
      <w:r w:rsidR="001A23A8">
        <w:t xml:space="preserve"> </w:t>
      </w:r>
      <w:hyperlink r:id="rId26" w:history="1">
        <w:r>
          <w:rPr>
            <w:rStyle w:val="Bodytext23"/>
          </w:rPr>
          <w:t>EuropeAid-IT-support@ec.europa.eu</w:t>
        </w:r>
      </w:hyperlink>
      <w:r>
        <w:rPr>
          <w:rStyle w:val="Bodytext2Bold2"/>
        </w:rPr>
        <w:t xml:space="preserve">via the online support form in PROSPECT. </w:t>
      </w:r>
      <w:r>
        <w:t xml:space="preserve">Please note that the working languages of the IT support </w:t>
      </w:r>
      <w:r>
        <w:rPr>
          <w:lang w:val="hr-HR" w:eastAsia="hr-HR" w:bidi="hr-HR"/>
        </w:rPr>
        <w:t xml:space="preserve">are: </w:t>
      </w:r>
      <w:r>
        <w:t xml:space="preserve">English French and Spanish. </w:t>
      </w:r>
      <w:r w:rsidR="00DB6357">
        <w:t>Therefore,</w:t>
      </w:r>
      <w:r>
        <w:t xml:space="preserve"> users are invited to send their questions in English, French or Spanish should they wish to benefit from an optimum response time.</w:t>
      </w:r>
      <w:bookmarkEnd w:id="48"/>
    </w:p>
    <w:p w:rsidR="000B5BFC" w:rsidRPr="00A8191B" w:rsidRDefault="00A8191B" w:rsidP="009763AA">
      <w:pPr>
        <w:pStyle w:val="Heading2"/>
        <w:jc w:val="both"/>
        <w:rPr>
          <w:rFonts w:ascii="Times New Roman" w:hAnsi="Times New Roman" w:cs="Times New Roman"/>
          <w:color w:val="auto"/>
        </w:rPr>
      </w:pPr>
      <w:bookmarkStart w:id="50" w:name="_Toc5010064"/>
      <w:bookmarkEnd w:id="49"/>
      <w:r>
        <w:rPr>
          <w:rStyle w:val="Bodytext711pt"/>
          <w:rFonts w:ascii="Times New Roman" w:hAnsi="Times New Roman" w:cs="Times New Roman"/>
          <w:b/>
          <w:bCs/>
          <w:color w:val="auto"/>
          <w:sz w:val="24"/>
          <w:szCs w:val="24"/>
        </w:rPr>
        <w:t xml:space="preserve">2.3. </w:t>
      </w:r>
      <w:r w:rsidR="00764274" w:rsidRPr="00A8191B">
        <w:rPr>
          <w:rStyle w:val="Bodytext711pt"/>
          <w:rFonts w:ascii="Times New Roman" w:hAnsi="Times New Roman" w:cs="Times New Roman"/>
          <w:b/>
          <w:bCs/>
          <w:color w:val="auto"/>
          <w:sz w:val="24"/>
          <w:szCs w:val="24"/>
        </w:rPr>
        <w:t>E</w:t>
      </w:r>
      <w:r w:rsidR="00764274" w:rsidRPr="00A8191B">
        <w:rPr>
          <w:rStyle w:val="Bodytext7SmallCaps"/>
          <w:rFonts w:ascii="Times New Roman" w:hAnsi="Times New Roman" w:cs="Times New Roman"/>
          <w:b/>
          <w:bCs/>
          <w:color w:val="auto"/>
          <w:sz w:val="24"/>
          <w:szCs w:val="24"/>
        </w:rPr>
        <w:t>valuation and selection of applications</w:t>
      </w:r>
      <w:bookmarkEnd w:id="50"/>
    </w:p>
    <w:p w:rsidR="00A8191B" w:rsidRDefault="00A8191B"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Applications will be examined and evaluated by the contracting authority with the possible assistance of external assessors. All applications will be assessed according to the following steps and criteria.</w:t>
      </w:r>
    </w:p>
    <w:p w:rsidR="000B5BFC" w:rsidRDefault="00764274" w:rsidP="007C2B43">
      <w:pPr>
        <w:pStyle w:val="Bodytext21"/>
        <w:shd w:val="clear" w:color="auto" w:fill="auto"/>
        <w:spacing w:before="0" w:after="0" w:line="240" w:lineRule="auto"/>
        <w:ind w:firstLine="0"/>
      </w:pPr>
      <w:r>
        <w:t xml:space="preserve">If the examination of the application reveals that the proposed action does not meet the </w:t>
      </w:r>
      <w:r>
        <w:rPr>
          <w:rStyle w:val="Bodytext26"/>
        </w:rPr>
        <w:t xml:space="preserve">eligibility criteria </w:t>
      </w:r>
      <w:r>
        <w:t>stated in Section 2.1, the application will be rejected on this sole basis.</w:t>
      </w:r>
    </w:p>
    <w:p w:rsidR="00030BDC" w:rsidRDefault="00030BDC" w:rsidP="007C2B43">
      <w:pPr>
        <w:pStyle w:val="Bodytext21"/>
        <w:shd w:val="clear" w:color="auto" w:fill="auto"/>
        <w:spacing w:before="0" w:after="0" w:line="240" w:lineRule="auto"/>
        <w:ind w:firstLine="0"/>
      </w:pPr>
    </w:p>
    <w:p w:rsidR="000B5BFC" w:rsidRPr="00A8191B" w:rsidRDefault="00764274" w:rsidP="009763AA">
      <w:pPr>
        <w:pStyle w:val="NoSpacing"/>
        <w:numPr>
          <w:ilvl w:val="0"/>
          <w:numId w:val="45"/>
        </w:numPr>
        <w:jc w:val="both"/>
        <w:rPr>
          <w:b/>
          <w:sz w:val="22"/>
          <w:szCs w:val="22"/>
        </w:rPr>
      </w:pPr>
      <w:bookmarkStart w:id="51" w:name="bookmark27"/>
      <w:r w:rsidRPr="00A8191B">
        <w:rPr>
          <w:b/>
          <w:sz w:val="22"/>
          <w:szCs w:val="22"/>
        </w:rPr>
        <w:t>STEP 1: OPENING &amp; ADMINISTRATIVE CHECKS AND CONCEPT NOTE EVALUATION</w:t>
      </w:r>
      <w:bookmarkEnd w:id="51"/>
    </w:p>
    <w:p w:rsidR="00480E34" w:rsidRDefault="00480E34" w:rsidP="007C2B43">
      <w:pPr>
        <w:pStyle w:val="Bodytext21"/>
        <w:shd w:val="clear" w:color="auto" w:fill="auto"/>
        <w:spacing w:before="0" w:after="0" w:line="240" w:lineRule="auto"/>
        <w:ind w:firstLine="0"/>
      </w:pPr>
    </w:p>
    <w:p w:rsidR="00480E34" w:rsidRDefault="00764274" w:rsidP="007C2B43">
      <w:pPr>
        <w:pStyle w:val="Bodytext21"/>
        <w:shd w:val="clear" w:color="auto" w:fill="auto"/>
        <w:spacing w:before="0" w:after="0" w:line="240" w:lineRule="auto"/>
        <w:ind w:firstLine="0"/>
      </w:pPr>
      <w:r>
        <w:t>During the opening and administrative check the following will be assessed:</w:t>
      </w:r>
    </w:p>
    <w:p w:rsidR="00480E34" w:rsidRDefault="00480E34" w:rsidP="007C2B43">
      <w:pPr>
        <w:pStyle w:val="Bodytext21"/>
        <w:shd w:val="clear" w:color="auto" w:fill="auto"/>
        <w:spacing w:before="0" w:after="0" w:line="240" w:lineRule="auto"/>
        <w:ind w:firstLine="0"/>
      </w:pPr>
    </w:p>
    <w:p w:rsidR="000B5BFC" w:rsidRDefault="00764274" w:rsidP="007C2B43">
      <w:pPr>
        <w:pStyle w:val="Bodytext21"/>
        <w:numPr>
          <w:ilvl w:val="0"/>
          <w:numId w:val="34"/>
        </w:numPr>
        <w:shd w:val="clear" w:color="auto" w:fill="auto"/>
        <w:spacing w:before="0" w:after="196" w:line="240" w:lineRule="auto"/>
      </w:pPr>
      <w:r>
        <w:t>If the deadline has been met. Otherwise, the application will be automatically rejected.</w:t>
      </w:r>
    </w:p>
    <w:p w:rsidR="000B5BFC" w:rsidRDefault="00764274" w:rsidP="007C2B43">
      <w:pPr>
        <w:pStyle w:val="Bodytext21"/>
        <w:numPr>
          <w:ilvl w:val="0"/>
          <w:numId w:val="34"/>
        </w:numPr>
        <w:shd w:val="clear" w:color="auto" w:fill="auto"/>
        <w:spacing w:before="0" w:after="205" w:line="240" w:lineRule="auto"/>
        <w:ind w:right="260"/>
      </w:pPr>
      <w:r>
        <w:lastRenderedPageBreak/>
        <w:t xml:space="preserve">If the </w:t>
      </w:r>
      <w:r w:rsidR="00130ED6">
        <w:t>c</w:t>
      </w:r>
      <w:r>
        <w:t xml:space="preserve">oncept note satisfies all the criteria specified in the checklist in Section 2 of Part A of the grant application form. This includes also an assessment of the eligibility of the action. If any of the requested information is missing or is incorrect, the application may be rejected on that </w:t>
      </w:r>
      <w:r>
        <w:rPr>
          <w:rStyle w:val="Bodytext2Bold1"/>
        </w:rPr>
        <w:t>sole</w:t>
      </w:r>
      <w:r w:rsidR="00480E34">
        <w:rPr>
          <w:rStyle w:val="Bodytext2Bold1"/>
        </w:rPr>
        <w:t xml:space="preserve"> </w:t>
      </w:r>
      <w:r>
        <w:t>basis and the application will not be evaluated further.</w:t>
      </w:r>
    </w:p>
    <w:p w:rsidR="000B5BFC" w:rsidRDefault="00764274" w:rsidP="007C2B43">
      <w:pPr>
        <w:pStyle w:val="Bodytext21"/>
        <w:shd w:val="clear" w:color="auto" w:fill="auto"/>
        <w:spacing w:before="0" w:after="192" w:line="240" w:lineRule="auto"/>
        <w:ind w:firstLine="0"/>
      </w:pPr>
      <w:r>
        <w:t>The concept notes that pass this check will be evaluated on the relevance and design of the proposed action.</w:t>
      </w:r>
    </w:p>
    <w:p w:rsidR="000B5BFC" w:rsidRDefault="00764274" w:rsidP="007C2B43">
      <w:pPr>
        <w:pStyle w:val="Bodytext21"/>
        <w:shd w:val="clear" w:color="auto" w:fill="auto"/>
        <w:spacing w:before="0" w:after="0" w:line="240" w:lineRule="auto"/>
        <w:ind w:firstLine="0"/>
      </w:pPr>
      <w:r>
        <w:t>The concept notes will receive an overall score out of 50 using the breakdown in the evaluation grid below.</w:t>
      </w:r>
    </w:p>
    <w:p w:rsidR="000B5BFC" w:rsidRDefault="00764274" w:rsidP="007C2B43">
      <w:pPr>
        <w:pStyle w:val="Bodytext21"/>
        <w:shd w:val="clear" w:color="auto" w:fill="auto"/>
        <w:spacing w:before="0" w:after="0" w:line="240" w:lineRule="auto"/>
        <w:ind w:firstLine="0"/>
      </w:pPr>
      <w:r>
        <w:t>The evaluation will also check on compliance with the instructions on how to complete the concept note,</w:t>
      </w:r>
      <w:r w:rsidR="00030BDC">
        <w:t xml:space="preserve"> </w:t>
      </w:r>
      <w:r>
        <w:t>which can be found in Part A of the grant application form.</w:t>
      </w:r>
    </w:p>
    <w:p w:rsidR="000B5BFC" w:rsidRDefault="00764274" w:rsidP="007C2B43">
      <w:pPr>
        <w:pStyle w:val="Bodytext21"/>
        <w:shd w:val="clear" w:color="auto" w:fill="auto"/>
        <w:spacing w:before="0" w:after="0" w:line="240" w:lineRule="auto"/>
        <w:ind w:firstLine="0"/>
      </w:pPr>
      <w:r>
        <w:t xml:space="preserve">The </w:t>
      </w:r>
      <w:r>
        <w:rPr>
          <w:rStyle w:val="Bodytext26"/>
        </w:rPr>
        <w:t>evaluation criteria</w:t>
      </w:r>
      <w:r>
        <w:t xml:space="preserve"> are divided into headings and subheadings. Each subheading will be given a score</w:t>
      </w:r>
      <w:r w:rsidR="00030BDC">
        <w:t xml:space="preserve"> </w:t>
      </w:r>
      <w:r>
        <w:t>between 1 and 5 as follows: 1 = very poor; 2 = poor; 3 = adequate; 4 = good; 5 = very good.</w:t>
      </w:r>
    </w:p>
    <w:p w:rsidR="00C31321" w:rsidRDefault="00C31321" w:rsidP="009763AA">
      <w:bookmarkStart w:id="52" w:name="bookmark28"/>
    </w:p>
    <w:p w:rsidR="000B5BFC" w:rsidRPr="00E75546" w:rsidRDefault="00764274" w:rsidP="009763AA">
      <w:pPr>
        <w:pStyle w:val="NoSpacing"/>
        <w:rPr>
          <w:b/>
          <w:sz w:val="22"/>
        </w:rPr>
      </w:pPr>
      <w:r w:rsidRPr="00E75546">
        <w:rPr>
          <w:b/>
          <w:sz w:val="22"/>
        </w:rPr>
        <w:t>Evaluation Grid</w:t>
      </w:r>
      <w:bookmarkEnd w:id="52"/>
    </w:p>
    <w:p w:rsidR="0021355F" w:rsidRPr="001437B5" w:rsidRDefault="0021355F" w:rsidP="007C2B43">
      <w:pPr>
        <w:pStyle w:val="Heading21"/>
        <w:keepNext/>
        <w:keepLines/>
        <w:shd w:val="clear" w:color="auto" w:fill="auto"/>
        <w:spacing w:after="0" w:line="240" w:lineRule="auto"/>
        <w:ind w:firstLine="0"/>
        <w:jc w:val="left"/>
        <w:rPr>
          <w:b w:val="0"/>
        </w:rPr>
      </w:pPr>
    </w:p>
    <w:tbl>
      <w:tblPr>
        <w:tblW w:w="9997" w:type="dxa"/>
        <w:tblLayout w:type="fixed"/>
        <w:tblLook w:val="01E0" w:firstRow="1" w:lastRow="1" w:firstColumn="1" w:lastColumn="1" w:noHBand="0" w:noVBand="0"/>
      </w:tblPr>
      <w:tblGrid>
        <w:gridCol w:w="8208"/>
        <w:gridCol w:w="1260"/>
        <w:gridCol w:w="529"/>
      </w:tblGrid>
      <w:tr w:rsidR="001437B5" w:rsidRPr="001437B5" w:rsidTr="00227276">
        <w:tc>
          <w:tcPr>
            <w:tcW w:w="8208" w:type="dxa"/>
            <w:tcBorders>
              <w:top w:val="single" w:sz="4" w:space="0" w:color="auto"/>
              <w:left w:val="single" w:sz="4" w:space="0" w:color="auto"/>
              <w:bottom w:val="single" w:sz="4" w:space="0" w:color="auto"/>
            </w:tcBorders>
          </w:tcPr>
          <w:p w:rsidR="001437B5" w:rsidRPr="001437B5" w:rsidRDefault="001437B5" w:rsidP="009763AA">
            <w:pPr>
              <w:spacing w:before="120"/>
              <w:jc w:val="both"/>
              <w:rPr>
                <w:b/>
                <w:sz w:val="22"/>
                <w:szCs w:val="22"/>
              </w:rPr>
            </w:pPr>
            <w:r w:rsidRPr="001437B5">
              <w:rPr>
                <w:b/>
                <w:sz w:val="22"/>
                <w:szCs w:val="22"/>
              </w:rPr>
              <w:t>1. Relevance of the action</w:t>
            </w:r>
          </w:p>
        </w:tc>
        <w:tc>
          <w:tcPr>
            <w:tcW w:w="1260" w:type="dxa"/>
            <w:tcBorders>
              <w:top w:val="single" w:sz="4" w:space="0" w:color="auto"/>
              <w:bottom w:val="single" w:sz="4" w:space="0" w:color="auto"/>
            </w:tcBorders>
          </w:tcPr>
          <w:p w:rsidR="001437B5" w:rsidRPr="001437B5" w:rsidRDefault="001437B5" w:rsidP="009763AA">
            <w:pPr>
              <w:spacing w:before="120"/>
              <w:jc w:val="center"/>
              <w:rPr>
                <w:sz w:val="22"/>
                <w:szCs w:val="22"/>
              </w:rPr>
            </w:pPr>
            <w:r w:rsidRPr="001437B5">
              <w:rPr>
                <w:sz w:val="22"/>
                <w:szCs w:val="22"/>
              </w:rPr>
              <w:t>Sub-score</w:t>
            </w:r>
          </w:p>
        </w:tc>
        <w:tc>
          <w:tcPr>
            <w:tcW w:w="529" w:type="dxa"/>
            <w:tcBorders>
              <w:top w:val="single" w:sz="4" w:space="0" w:color="auto"/>
              <w:bottom w:val="single" w:sz="4" w:space="0" w:color="auto"/>
              <w:right w:val="single" w:sz="4" w:space="0" w:color="auto"/>
            </w:tcBorders>
          </w:tcPr>
          <w:p w:rsidR="001437B5" w:rsidRPr="001437B5" w:rsidRDefault="00D831C4" w:rsidP="009763AA">
            <w:pPr>
              <w:spacing w:before="120"/>
              <w:jc w:val="center"/>
              <w:rPr>
                <w:b/>
                <w:sz w:val="22"/>
                <w:szCs w:val="22"/>
              </w:rPr>
            </w:pPr>
            <w:r>
              <w:rPr>
                <w:b/>
                <w:sz w:val="22"/>
                <w:szCs w:val="22"/>
              </w:rPr>
              <w:t>2</w:t>
            </w:r>
            <w:r w:rsidR="001437B5" w:rsidRPr="001437B5">
              <w:rPr>
                <w:b/>
                <w:sz w:val="22"/>
                <w:szCs w:val="22"/>
              </w:rPr>
              <w:t>0</w:t>
            </w: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rsidR="001437B5" w:rsidRPr="001437B5" w:rsidRDefault="001437B5" w:rsidP="009763AA">
            <w:pPr>
              <w:spacing w:before="120"/>
              <w:ind w:left="340" w:hanging="340"/>
              <w:jc w:val="both"/>
              <w:rPr>
                <w:sz w:val="22"/>
                <w:szCs w:val="22"/>
              </w:rPr>
            </w:pPr>
            <w:r w:rsidRPr="001437B5">
              <w:rPr>
                <w:sz w:val="22"/>
                <w:szCs w:val="22"/>
              </w:rPr>
              <w:t>1.1</w:t>
            </w:r>
            <w:r w:rsidRPr="001437B5">
              <w:rPr>
                <w:sz w:val="22"/>
                <w:szCs w:val="22"/>
              </w:rPr>
              <w:tab/>
              <w:t>How relevant is the proposal to the objectives and priorities of the call for proposals and to the specific themes/sectors/areas or any other specific requirement stated in the guidelines for applicants? Are the expected results of the action aligned with the priorities defined in the guidelines for applicants (section 1.2)?</w:t>
            </w:r>
          </w:p>
        </w:tc>
        <w:tc>
          <w:tcPr>
            <w:tcW w:w="1260" w:type="dxa"/>
            <w:tcBorders>
              <w:top w:val="single" w:sz="4" w:space="0" w:color="auto"/>
              <w:left w:val="single" w:sz="4" w:space="0" w:color="auto"/>
              <w:right w:val="single" w:sz="4" w:space="0" w:color="auto"/>
            </w:tcBorders>
          </w:tcPr>
          <w:p w:rsidR="001437B5" w:rsidRPr="001437B5" w:rsidRDefault="001437B5" w:rsidP="009763AA">
            <w:pPr>
              <w:spacing w:before="120"/>
              <w:jc w:val="center"/>
              <w:rPr>
                <w:sz w:val="22"/>
                <w:szCs w:val="22"/>
              </w:rPr>
            </w:pPr>
            <w:r w:rsidRPr="001437B5">
              <w:rPr>
                <w:sz w:val="22"/>
                <w:szCs w:val="22"/>
              </w:rPr>
              <w:t>5</w:t>
            </w:r>
          </w:p>
        </w:tc>
        <w:tc>
          <w:tcPr>
            <w:tcW w:w="529" w:type="dxa"/>
            <w:tcBorders>
              <w:top w:val="single" w:sz="4" w:space="0" w:color="auto"/>
              <w:left w:val="single" w:sz="4" w:space="0" w:color="auto"/>
              <w:right w:val="single" w:sz="4" w:space="0" w:color="auto"/>
            </w:tcBorders>
            <w:shd w:val="clear" w:color="auto" w:fill="auto"/>
          </w:tcPr>
          <w:p w:rsidR="001437B5" w:rsidRPr="001437B5" w:rsidRDefault="001437B5" w:rsidP="009763AA">
            <w:pPr>
              <w:spacing w:before="120"/>
              <w:jc w:val="center"/>
              <w:rPr>
                <w:sz w:val="22"/>
                <w:szCs w:val="22"/>
                <w:u w:val="single"/>
              </w:rPr>
            </w:pP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rsidR="001437B5" w:rsidRPr="001437B5" w:rsidRDefault="001437B5" w:rsidP="009763AA">
            <w:pPr>
              <w:spacing w:before="120"/>
              <w:ind w:left="425" w:hanging="425"/>
              <w:jc w:val="both"/>
              <w:rPr>
                <w:sz w:val="22"/>
                <w:szCs w:val="22"/>
              </w:rPr>
            </w:pPr>
            <w:r w:rsidRPr="001437B5">
              <w:rPr>
                <w:sz w:val="22"/>
                <w:szCs w:val="22"/>
              </w:rPr>
              <w:t>1.2</w:t>
            </w:r>
            <w:r w:rsidRPr="001437B5">
              <w:rPr>
                <w:sz w:val="22"/>
                <w:szCs w:val="22"/>
              </w:rPr>
              <w:tab/>
              <w:t>How relevant is the proposal to the particular needs and constraints</w:t>
            </w:r>
            <w:r w:rsidR="00227276">
              <w:rPr>
                <w:sz w:val="22"/>
                <w:szCs w:val="22"/>
              </w:rPr>
              <w:t xml:space="preserve"> </w:t>
            </w:r>
            <w:r w:rsidRPr="001437B5">
              <w:rPr>
                <w:sz w:val="22"/>
                <w:szCs w:val="22"/>
              </w:rPr>
              <w:t>of the target country(</w:t>
            </w:r>
            <w:proofErr w:type="spellStart"/>
            <w:r w:rsidRPr="001437B5">
              <w:rPr>
                <w:sz w:val="22"/>
                <w:szCs w:val="22"/>
              </w:rPr>
              <w:t>ies</w:t>
            </w:r>
            <w:proofErr w:type="spellEnd"/>
            <w:r w:rsidRPr="001437B5">
              <w:rPr>
                <w:sz w:val="22"/>
                <w:szCs w:val="22"/>
              </w:rPr>
              <w:t>), region(s) and/or relevant sectors (including synergy with other development initiatives and avoidance of duplication)?</w:t>
            </w:r>
          </w:p>
        </w:tc>
        <w:tc>
          <w:tcPr>
            <w:tcW w:w="1260" w:type="dxa"/>
            <w:tcBorders>
              <w:left w:val="single" w:sz="4" w:space="0" w:color="auto"/>
              <w:right w:val="single" w:sz="4" w:space="0" w:color="auto"/>
            </w:tcBorders>
          </w:tcPr>
          <w:p w:rsidR="001437B5" w:rsidRPr="001437B5" w:rsidRDefault="001437B5" w:rsidP="009763AA">
            <w:pPr>
              <w:spacing w:before="120"/>
              <w:jc w:val="center"/>
              <w:rPr>
                <w:sz w:val="22"/>
                <w:szCs w:val="22"/>
              </w:rPr>
            </w:pPr>
            <w:r w:rsidRPr="001437B5">
              <w:rPr>
                <w:sz w:val="22"/>
                <w:szCs w:val="22"/>
              </w:rPr>
              <w:t>5</w:t>
            </w:r>
          </w:p>
        </w:tc>
        <w:tc>
          <w:tcPr>
            <w:tcW w:w="529" w:type="dxa"/>
            <w:tcBorders>
              <w:left w:val="single" w:sz="4" w:space="0" w:color="auto"/>
              <w:right w:val="single" w:sz="4" w:space="0" w:color="auto"/>
            </w:tcBorders>
            <w:shd w:val="clear" w:color="auto" w:fill="auto"/>
          </w:tcPr>
          <w:p w:rsidR="001437B5" w:rsidRPr="001437B5" w:rsidRDefault="001437B5" w:rsidP="009763AA">
            <w:pPr>
              <w:spacing w:before="120"/>
              <w:jc w:val="center"/>
              <w:rPr>
                <w:sz w:val="22"/>
                <w:szCs w:val="22"/>
                <w:u w:val="single"/>
              </w:rPr>
            </w:pPr>
          </w:p>
        </w:tc>
      </w:tr>
      <w:tr w:rsidR="001437B5" w:rsidRPr="001437B5" w:rsidTr="00227276">
        <w:trPr>
          <w:trHeight w:val="990"/>
        </w:trPr>
        <w:tc>
          <w:tcPr>
            <w:tcW w:w="8208" w:type="dxa"/>
            <w:tcBorders>
              <w:left w:val="single" w:sz="4" w:space="0" w:color="auto"/>
              <w:right w:val="single" w:sz="4" w:space="0" w:color="auto"/>
            </w:tcBorders>
          </w:tcPr>
          <w:p w:rsidR="001437B5" w:rsidRPr="001437B5" w:rsidRDefault="001437B5" w:rsidP="009763AA">
            <w:pPr>
              <w:spacing w:before="120"/>
              <w:ind w:left="425" w:hanging="425"/>
              <w:jc w:val="both"/>
              <w:rPr>
                <w:sz w:val="22"/>
                <w:szCs w:val="22"/>
              </w:rPr>
            </w:pPr>
            <w:r w:rsidRPr="001437B5">
              <w:rPr>
                <w:sz w:val="22"/>
                <w:szCs w:val="22"/>
              </w:rPr>
              <w:t>1.3</w:t>
            </w:r>
            <w:r w:rsidRPr="001437B5">
              <w:rPr>
                <w:sz w:val="22"/>
                <w:szCs w:val="22"/>
              </w:rPr>
              <w:tab/>
              <w:t>How clearly defined and strategically chosen are those involved (final beneficiaries, target groups)? Have their needs (as rights holders and/or duty bearers) and constraints been clearly defined and does the proposal address them appropriately?</w:t>
            </w:r>
          </w:p>
        </w:tc>
        <w:tc>
          <w:tcPr>
            <w:tcW w:w="1260" w:type="dxa"/>
            <w:tcBorders>
              <w:top w:val="single" w:sz="4" w:space="0" w:color="auto"/>
              <w:left w:val="single" w:sz="4" w:space="0" w:color="auto"/>
              <w:right w:val="single" w:sz="4" w:space="0" w:color="auto"/>
            </w:tcBorders>
          </w:tcPr>
          <w:p w:rsidR="001437B5" w:rsidRPr="001437B5" w:rsidDel="002D2C92" w:rsidRDefault="001437B5" w:rsidP="009763AA">
            <w:pPr>
              <w:spacing w:before="120"/>
              <w:jc w:val="center"/>
              <w:rPr>
                <w:sz w:val="22"/>
                <w:szCs w:val="22"/>
              </w:rPr>
            </w:pPr>
            <w:r w:rsidRPr="001437B5">
              <w:rPr>
                <w:sz w:val="22"/>
                <w:szCs w:val="22"/>
              </w:rPr>
              <w:t>5</w:t>
            </w:r>
          </w:p>
        </w:tc>
        <w:tc>
          <w:tcPr>
            <w:tcW w:w="529" w:type="dxa"/>
            <w:tcBorders>
              <w:left w:val="single" w:sz="4" w:space="0" w:color="auto"/>
              <w:right w:val="single" w:sz="4" w:space="0" w:color="auto"/>
            </w:tcBorders>
            <w:shd w:val="clear" w:color="auto" w:fill="auto"/>
          </w:tcPr>
          <w:p w:rsidR="001437B5" w:rsidRPr="001437B5" w:rsidRDefault="001437B5" w:rsidP="009763AA">
            <w:pPr>
              <w:spacing w:before="120"/>
              <w:jc w:val="center"/>
              <w:rPr>
                <w:sz w:val="22"/>
                <w:szCs w:val="22"/>
                <w:u w:val="single"/>
              </w:rPr>
            </w:pP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rsidR="001437B5" w:rsidRPr="001437B5" w:rsidRDefault="001437B5" w:rsidP="009763AA">
            <w:pPr>
              <w:spacing w:before="120"/>
              <w:ind w:left="425" w:hanging="425"/>
              <w:jc w:val="both"/>
              <w:rPr>
                <w:sz w:val="22"/>
                <w:szCs w:val="22"/>
              </w:rPr>
            </w:pPr>
            <w:r w:rsidRPr="001437B5">
              <w:rPr>
                <w:sz w:val="22"/>
                <w:szCs w:val="22"/>
              </w:rPr>
              <w:t>1.4</w:t>
            </w:r>
            <w:r w:rsidRPr="001437B5">
              <w:rPr>
                <w:sz w:val="22"/>
                <w:szCs w:val="22"/>
              </w:rPr>
              <w:tab/>
              <w:t xml:space="preserve">Does the proposal contain particular added-value elements (e.g. innovation, best practices) </w:t>
            </w:r>
            <w:r w:rsidRPr="001437B5">
              <w:rPr>
                <w:bCs/>
                <w:iCs/>
                <w:sz w:val="22"/>
                <w:szCs w:val="22"/>
              </w:rPr>
              <w:t>and the other additional elements indicated under 1.2. of the guidelines for applicants?</w:t>
            </w:r>
          </w:p>
        </w:tc>
        <w:tc>
          <w:tcPr>
            <w:tcW w:w="1260" w:type="dxa"/>
            <w:tcBorders>
              <w:top w:val="single" w:sz="4" w:space="0" w:color="auto"/>
              <w:left w:val="single" w:sz="4" w:space="0" w:color="auto"/>
              <w:right w:val="single" w:sz="4" w:space="0" w:color="auto"/>
            </w:tcBorders>
          </w:tcPr>
          <w:p w:rsidR="001437B5" w:rsidRPr="001437B5" w:rsidRDefault="001437B5" w:rsidP="009763AA">
            <w:pPr>
              <w:spacing w:before="120"/>
              <w:jc w:val="center"/>
              <w:rPr>
                <w:sz w:val="22"/>
                <w:szCs w:val="22"/>
              </w:rPr>
            </w:pPr>
            <w:r w:rsidRPr="001437B5">
              <w:rPr>
                <w:sz w:val="22"/>
                <w:szCs w:val="22"/>
              </w:rPr>
              <w:t>5</w:t>
            </w:r>
          </w:p>
        </w:tc>
        <w:tc>
          <w:tcPr>
            <w:tcW w:w="529" w:type="dxa"/>
            <w:tcBorders>
              <w:left w:val="single" w:sz="4" w:space="0" w:color="auto"/>
              <w:right w:val="single" w:sz="4" w:space="0" w:color="auto"/>
            </w:tcBorders>
            <w:shd w:val="clear" w:color="auto" w:fill="auto"/>
          </w:tcPr>
          <w:p w:rsidR="001437B5" w:rsidRPr="001437B5" w:rsidRDefault="001437B5" w:rsidP="009763AA">
            <w:pPr>
              <w:spacing w:before="120"/>
              <w:jc w:val="center"/>
              <w:rPr>
                <w:sz w:val="22"/>
                <w:szCs w:val="22"/>
                <w:u w:val="single"/>
              </w:rPr>
            </w:pP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rsidR="001437B5" w:rsidRPr="001437B5" w:rsidRDefault="001437B5" w:rsidP="009763AA">
            <w:pPr>
              <w:spacing w:before="120"/>
              <w:jc w:val="both"/>
              <w:rPr>
                <w:b/>
                <w:sz w:val="22"/>
                <w:szCs w:val="22"/>
              </w:rPr>
            </w:pPr>
            <w:r w:rsidRPr="001437B5">
              <w:rPr>
                <w:b/>
                <w:sz w:val="22"/>
                <w:szCs w:val="22"/>
              </w:rPr>
              <w:t>2. Design of the action</w:t>
            </w:r>
          </w:p>
        </w:tc>
        <w:tc>
          <w:tcPr>
            <w:tcW w:w="1260" w:type="dxa"/>
            <w:tcBorders>
              <w:bottom w:val="single" w:sz="4" w:space="0" w:color="auto"/>
            </w:tcBorders>
          </w:tcPr>
          <w:p w:rsidR="001437B5" w:rsidRPr="001437B5" w:rsidRDefault="001437B5" w:rsidP="009763AA">
            <w:pPr>
              <w:spacing w:before="120"/>
              <w:jc w:val="center"/>
              <w:rPr>
                <w:sz w:val="22"/>
                <w:szCs w:val="22"/>
              </w:rPr>
            </w:pPr>
            <w:r w:rsidRPr="001437B5">
              <w:rPr>
                <w:sz w:val="22"/>
                <w:szCs w:val="22"/>
              </w:rPr>
              <w:t>Sub-score</w:t>
            </w:r>
          </w:p>
        </w:tc>
        <w:tc>
          <w:tcPr>
            <w:tcW w:w="529" w:type="dxa"/>
            <w:tcBorders>
              <w:bottom w:val="single" w:sz="4" w:space="0" w:color="auto"/>
            </w:tcBorders>
          </w:tcPr>
          <w:p w:rsidR="001437B5" w:rsidRPr="001437B5" w:rsidRDefault="00D831C4" w:rsidP="009763AA">
            <w:pPr>
              <w:spacing w:before="120"/>
              <w:jc w:val="center"/>
              <w:rPr>
                <w:b/>
                <w:sz w:val="22"/>
                <w:szCs w:val="22"/>
              </w:rPr>
            </w:pPr>
            <w:r>
              <w:rPr>
                <w:b/>
                <w:sz w:val="22"/>
                <w:szCs w:val="22"/>
              </w:rPr>
              <w:t>3</w:t>
            </w:r>
            <w:r w:rsidR="001437B5" w:rsidRPr="001437B5">
              <w:rPr>
                <w:b/>
                <w:sz w:val="22"/>
                <w:szCs w:val="22"/>
              </w:rPr>
              <w:t>0</w:t>
            </w: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rsidR="001437B5" w:rsidRPr="001437B5" w:rsidRDefault="001437B5" w:rsidP="00D831C4">
            <w:pPr>
              <w:spacing w:before="120"/>
              <w:ind w:left="425" w:hanging="425"/>
              <w:jc w:val="both"/>
              <w:rPr>
                <w:sz w:val="22"/>
                <w:szCs w:val="22"/>
              </w:rPr>
            </w:pPr>
            <w:r w:rsidRPr="001437B5">
              <w:rPr>
                <w:sz w:val="22"/>
                <w:szCs w:val="22"/>
              </w:rPr>
              <w:t>2.1</w:t>
            </w:r>
            <w:r w:rsidRPr="001437B5">
              <w:rPr>
                <w:sz w:val="22"/>
                <w:szCs w:val="22"/>
              </w:rPr>
              <w:tab/>
              <w:t>How coherent is the overall design of the action? Does the proposal indicate the expected results to be achieved by the action? Does the intervention logic explain the rationale to achieve the expected results?</w:t>
            </w:r>
          </w:p>
        </w:tc>
        <w:tc>
          <w:tcPr>
            <w:tcW w:w="1260" w:type="dxa"/>
            <w:tcBorders>
              <w:top w:val="single" w:sz="4" w:space="0" w:color="auto"/>
              <w:left w:val="single" w:sz="4" w:space="0" w:color="auto"/>
              <w:bottom w:val="single" w:sz="4" w:space="0" w:color="auto"/>
              <w:right w:val="single" w:sz="4" w:space="0" w:color="auto"/>
            </w:tcBorders>
          </w:tcPr>
          <w:p w:rsidR="001437B5" w:rsidRPr="001437B5" w:rsidRDefault="001437B5" w:rsidP="009763AA">
            <w:pPr>
              <w:spacing w:before="120"/>
              <w:jc w:val="center"/>
              <w:rPr>
                <w:sz w:val="22"/>
                <w:szCs w:val="22"/>
              </w:rPr>
            </w:pPr>
            <w:r w:rsidRPr="001437B5">
              <w:rPr>
                <w:sz w:val="22"/>
                <w:szCs w:val="22"/>
              </w:rPr>
              <w:t>5</w:t>
            </w:r>
            <w:r w:rsidR="00D831C4">
              <w:rPr>
                <w:sz w:val="22"/>
                <w:szCs w:val="22"/>
              </w:rPr>
              <w:t>*2</w:t>
            </w:r>
          </w:p>
        </w:tc>
        <w:tc>
          <w:tcPr>
            <w:tcW w:w="529" w:type="dxa"/>
            <w:vMerge w:val="restart"/>
            <w:tcBorders>
              <w:top w:val="single" w:sz="4" w:space="0" w:color="auto"/>
              <w:left w:val="single" w:sz="4" w:space="0" w:color="auto"/>
              <w:right w:val="single" w:sz="4" w:space="0" w:color="auto"/>
            </w:tcBorders>
            <w:shd w:val="clear" w:color="auto" w:fill="auto"/>
          </w:tcPr>
          <w:p w:rsidR="001437B5" w:rsidRPr="001437B5" w:rsidRDefault="001437B5" w:rsidP="001A23A8">
            <w:pPr>
              <w:spacing w:before="120"/>
              <w:jc w:val="center"/>
              <w:rPr>
                <w:sz w:val="22"/>
                <w:szCs w:val="22"/>
                <w:u w:val="single"/>
              </w:rPr>
            </w:pP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1437B5" w:rsidRPr="001437B5" w:rsidRDefault="001437B5" w:rsidP="00D831C4">
            <w:pPr>
              <w:spacing w:before="120"/>
              <w:ind w:left="425" w:hanging="425"/>
              <w:jc w:val="both"/>
              <w:rPr>
                <w:sz w:val="22"/>
                <w:szCs w:val="22"/>
              </w:rPr>
            </w:pPr>
            <w:r w:rsidRPr="001437B5">
              <w:rPr>
                <w:sz w:val="22"/>
                <w:szCs w:val="22"/>
              </w:rPr>
              <w:t>2.2</w:t>
            </w:r>
            <w:r w:rsidRPr="001437B5">
              <w:rPr>
                <w:sz w:val="22"/>
                <w:szCs w:val="22"/>
              </w:rPr>
              <w:tab/>
              <w:t>Does the design reflect a robust analysis of the problems involved</w:t>
            </w:r>
            <w:r w:rsidR="00D831C4">
              <w:rPr>
                <w:sz w:val="22"/>
                <w:szCs w:val="22"/>
              </w:rPr>
              <w:t>,</w:t>
            </w:r>
            <w:r w:rsidR="00190652">
              <w:rPr>
                <w:sz w:val="22"/>
                <w:szCs w:val="22"/>
              </w:rPr>
              <w:t xml:space="preserve"> </w:t>
            </w:r>
            <w:r w:rsidRPr="001437B5">
              <w:rPr>
                <w:sz w:val="22"/>
                <w:szCs w:val="22"/>
              </w:rPr>
              <w:t>and the capacities of the relevant stakeholders?</w:t>
            </w:r>
          </w:p>
        </w:tc>
        <w:tc>
          <w:tcPr>
            <w:tcW w:w="1260" w:type="dxa"/>
            <w:tcBorders>
              <w:top w:val="single" w:sz="4" w:space="0" w:color="auto"/>
              <w:left w:val="single" w:sz="4" w:space="0" w:color="auto"/>
              <w:right w:val="single" w:sz="4" w:space="0" w:color="auto"/>
            </w:tcBorders>
          </w:tcPr>
          <w:p w:rsidR="001437B5" w:rsidRPr="001437B5" w:rsidRDefault="001437B5" w:rsidP="009763AA">
            <w:pPr>
              <w:spacing w:before="120"/>
              <w:jc w:val="center"/>
              <w:rPr>
                <w:sz w:val="22"/>
                <w:szCs w:val="22"/>
              </w:rPr>
            </w:pPr>
            <w:r w:rsidRPr="001437B5">
              <w:rPr>
                <w:sz w:val="22"/>
                <w:szCs w:val="22"/>
              </w:rPr>
              <w:t>5</w:t>
            </w:r>
          </w:p>
        </w:tc>
        <w:tc>
          <w:tcPr>
            <w:tcW w:w="529" w:type="dxa"/>
            <w:vMerge/>
            <w:tcBorders>
              <w:left w:val="single" w:sz="4" w:space="0" w:color="auto"/>
              <w:right w:val="single" w:sz="4" w:space="0" w:color="auto"/>
            </w:tcBorders>
            <w:shd w:val="clear" w:color="auto" w:fill="auto"/>
          </w:tcPr>
          <w:p w:rsidR="001437B5" w:rsidRPr="001437B5" w:rsidRDefault="001437B5">
            <w:pPr>
              <w:spacing w:before="120"/>
              <w:jc w:val="center"/>
              <w:rPr>
                <w:sz w:val="22"/>
                <w:szCs w:val="22"/>
                <w:u w:val="single"/>
              </w:rPr>
            </w:pPr>
          </w:p>
        </w:tc>
      </w:tr>
      <w:tr w:rsidR="00D831C4"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D831C4" w:rsidRPr="001437B5" w:rsidRDefault="00D831C4" w:rsidP="00D831C4">
            <w:pPr>
              <w:spacing w:before="120"/>
              <w:ind w:left="425" w:hanging="425"/>
              <w:jc w:val="both"/>
              <w:rPr>
                <w:sz w:val="22"/>
                <w:szCs w:val="22"/>
              </w:rPr>
            </w:pPr>
            <w:proofErr w:type="gramStart"/>
            <w:r>
              <w:rPr>
                <w:sz w:val="22"/>
                <w:szCs w:val="22"/>
              </w:rPr>
              <w:t xml:space="preserve">2.3  </w:t>
            </w:r>
            <w:r w:rsidRPr="00D831C4">
              <w:rPr>
                <w:sz w:val="22"/>
                <w:szCs w:val="22"/>
              </w:rPr>
              <w:t>Does</w:t>
            </w:r>
            <w:proofErr w:type="gramEnd"/>
            <w:r w:rsidRPr="00D831C4">
              <w:rPr>
                <w:sz w:val="22"/>
                <w:szCs w:val="22"/>
              </w:rPr>
              <w:t xml:space="preserve"> the design take into account external factors (risks and assumptions)?</w:t>
            </w:r>
          </w:p>
        </w:tc>
        <w:tc>
          <w:tcPr>
            <w:tcW w:w="1260" w:type="dxa"/>
            <w:tcBorders>
              <w:top w:val="single" w:sz="4" w:space="0" w:color="auto"/>
              <w:left w:val="single" w:sz="4" w:space="0" w:color="auto"/>
              <w:right w:val="single" w:sz="4" w:space="0" w:color="auto"/>
            </w:tcBorders>
          </w:tcPr>
          <w:p w:rsidR="00D831C4" w:rsidRPr="001437B5" w:rsidRDefault="00D831C4" w:rsidP="009763AA">
            <w:pPr>
              <w:spacing w:before="120"/>
              <w:jc w:val="center"/>
              <w:rPr>
                <w:sz w:val="22"/>
                <w:szCs w:val="22"/>
              </w:rPr>
            </w:pPr>
            <w:r>
              <w:rPr>
                <w:sz w:val="22"/>
                <w:szCs w:val="22"/>
              </w:rPr>
              <w:t>5</w:t>
            </w:r>
          </w:p>
        </w:tc>
        <w:tc>
          <w:tcPr>
            <w:tcW w:w="529" w:type="dxa"/>
            <w:tcBorders>
              <w:left w:val="single" w:sz="4" w:space="0" w:color="auto"/>
              <w:right w:val="single" w:sz="4" w:space="0" w:color="auto"/>
            </w:tcBorders>
            <w:shd w:val="clear" w:color="auto" w:fill="auto"/>
          </w:tcPr>
          <w:p w:rsidR="00D831C4" w:rsidRPr="001437B5" w:rsidRDefault="00D831C4">
            <w:pPr>
              <w:spacing w:before="120"/>
              <w:jc w:val="center"/>
              <w:rPr>
                <w:sz w:val="22"/>
                <w:szCs w:val="22"/>
                <w:u w:val="single"/>
              </w:rPr>
            </w:pP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rsidR="001437B5" w:rsidRPr="001437B5" w:rsidRDefault="00D831C4" w:rsidP="009763AA">
            <w:pPr>
              <w:spacing w:before="120"/>
              <w:ind w:left="425" w:hanging="425"/>
              <w:jc w:val="both"/>
              <w:rPr>
                <w:sz w:val="22"/>
                <w:szCs w:val="22"/>
              </w:rPr>
            </w:pPr>
            <w:r>
              <w:rPr>
                <w:sz w:val="22"/>
                <w:szCs w:val="22"/>
              </w:rPr>
              <w:t>2.4</w:t>
            </w:r>
            <w:r w:rsidR="001437B5" w:rsidRPr="001437B5">
              <w:rPr>
                <w:sz w:val="22"/>
                <w:szCs w:val="22"/>
              </w:rPr>
              <w:tab/>
            </w:r>
            <w:r w:rsidR="00190652" w:rsidRPr="001437B5">
              <w:rPr>
                <w:sz w:val="22"/>
                <w:szCs w:val="22"/>
              </w:rPr>
              <w:t>Are the activities feasible and consistent in relation to the expected results (including timeframe)? Are results (output, outcome and impact) realistic?</w:t>
            </w:r>
          </w:p>
        </w:tc>
        <w:tc>
          <w:tcPr>
            <w:tcW w:w="1260" w:type="dxa"/>
            <w:tcBorders>
              <w:top w:val="single" w:sz="4" w:space="0" w:color="auto"/>
              <w:left w:val="single" w:sz="4" w:space="0" w:color="auto"/>
              <w:right w:val="single" w:sz="4" w:space="0" w:color="auto"/>
            </w:tcBorders>
          </w:tcPr>
          <w:p w:rsidR="001437B5" w:rsidRPr="001437B5" w:rsidRDefault="001437B5" w:rsidP="009763AA">
            <w:pPr>
              <w:spacing w:before="120"/>
              <w:jc w:val="center"/>
              <w:rPr>
                <w:sz w:val="22"/>
                <w:szCs w:val="22"/>
              </w:rPr>
            </w:pPr>
            <w:r w:rsidRPr="001437B5">
              <w:rPr>
                <w:sz w:val="22"/>
                <w:szCs w:val="22"/>
              </w:rPr>
              <w:t>5</w:t>
            </w:r>
          </w:p>
        </w:tc>
        <w:tc>
          <w:tcPr>
            <w:tcW w:w="529" w:type="dxa"/>
            <w:tcBorders>
              <w:left w:val="single" w:sz="4" w:space="0" w:color="auto"/>
              <w:right w:val="single" w:sz="4" w:space="0" w:color="auto"/>
            </w:tcBorders>
            <w:shd w:val="clear" w:color="auto" w:fill="auto"/>
          </w:tcPr>
          <w:p w:rsidR="001437B5" w:rsidRPr="001437B5" w:rsidRDefault="001437B5" w:rsidP="009763AA">
            <w:pPr>
              <w:spacing w:before="120"/>
              <w:jc w:val="center"/>
              <w:rPr>
                <w:sz w:val="22"/>
                <w:szCs w:val="22"/>
                <w:u w:val="single"/>
              </w:rPr>
            </w:pPr>
          </w:p>
        </w:tc>
      </w:tr>
      <w:tr w:rsidR="001437B5" w:rsidRPr="001437B5" w:rsidTr="002272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rsidR="001437B5" w:rsidRPr="00071531" w:rsidRDefault="00D831C4" w:rsidP="009763AA">
            <w:pPr>
              <w:widowControl/>
              <w:spacing w:before="120" w:after="200"/>
              <w:ind w:left="418" w:hanging="418"/>
              <w:jc w:val="both"/>
              <w:rPr>
                <w:sz w:val="22"/>
                <w:szCs w:val="22"/>
              </w:rPr>
            </w:pPr>
            <w:r>
              <w:rPr>
                <w:sz w:val="22"/>
                <w:szCs w:val="22"/>
              </w:rPr>
              <w:t>2.5</w:t>
            </w:r>
            <w:r w:rsidR="00E01F24">
              <w:rPr>
                <w:sz w:val="22"/>
                <w:szCs w:val="22"/>
              </w:rPr>
              <w:t xml:space="preserve"> </w:t>
            </w:r>
            <w:r w:rsidR="003B6144">
              <w:rPr>
                <w:sz w:val="22"/>
                <w:szCs w:val="22"/>
              </w:rPr>
              <w:t xml:space="preserve"> </w:t>
            </w:r>
            <w:r w:rsidR="003B6144" w:rsidRPr="003B6144">
              <w:rPr>
                <w:sz w:val="22"/>
                <w:szCs w:val="22"/>
              </w:rPr>
              <w:t>To which extent does the proposal integrate relevant cross-cutting elements such as environmental/climate change issues, promotion of gender equality and equal opportunities, needs of disabled people, rights of minorities and rights of indigenous peoples, youth, combating HIV/AIDS (if there is a strong prevalence in the target country/region)?</w:t>
            </w:r>
            <w:r w:rsidR="00071531" w:rsidRPr="00071531">
              <w:rPr>
                <w:color w:val="auto"/>
                <w:sz w:val="22"/>
                <w:szCs w:val="22"/>
                <w:lang w:bidi="ar-SA"/>
              </w:rPr>
              <w:t xml:space="preserve">. </w:t>
            </w:r>
          </w:p>
        </w:tc>
        <w:tc>
          <w:tcPr>
            <w:tcW w:w="1260" w:type="dxa"/>
            <w:tcBorders>
              <w:top w:val="single" w:sz="4" w:space="0" w:color="auto"/>
              <w:left w:val="single" w:sz="4" w:space="0" w:color="auto"/>
              <w:bottom w:val="single" w:sz="4" w:space="0" w:color="auto"/>
              <w:right w:val="single" w:sz="4" w:space="0" w:color="auto"/>
            </w:tcBorders>
          </w:tcPr>
          <w:p w:rsidR="001437B5" w:rsidRPr="001437B5" w:rsidRDefault="001437B5" w:rsidP="009763AA">
            <w:pPr>
              <w:spacing w:before="120"/>
              <w:jc w:val="center"/>
              <w:rPr>
                <w:sz w:val="22"/>
                <w:szCs w:val="22"/>
              </w:rPr>
            </w:pPr>
            <w:r w:rsidRPr="001437B5">
              <w:rPr>
                <w:sz w:val="22"/>
                <w:szCs w:val="22"/>
              </w:rPr>
              <w:t>5</w:t>
            </w:r>
          </w:p>
        </w:tc>
        <w:tc>
          <w:tcPr>
            <w:tcW w:w="529" w:type="dxa"/>
            <w:tcBorders>
              <w:left w:val="single" w:sz="4" w:space="0" w:color="auto"/>
              <w:bottom w:val="single" w:sz="4" w:space="0" w:color="auto"/>
              <w:right w:val="single" w:sz="4" w:space="0" w:color="auto"/>
            </w:tcBorders>
            <w:shd w:val="clear" w:color="auto" w:fill="auto"/>
          </w:tcPr>
          <w:p w:rsidR="001437B5" w:rsidRPr="001437B5" w:rsidRDefault="001437B5" w:rsidP="009763AA">
            <w:pPr>
              <w:spacing w:before="120"/>
              <w:jc w:val="center"/>
              <w:rPr>
                <w:sz w:val="22"/>
                <w:szCs w:val="22"/>
                <w:u w:val="single"/>
              </w:rPr>
            </w:pPr>
          </w:p>
        </w:tc>
      </w:tr>
      <w:tr w:rsidR="001437B5" w:rsidRPr="001437B5" w:rsidTr="00227276">
        <w:trPr>
          <w:trHeight w:val="395"/>
        </w:trPr>
        <w:tc>
          <w:tcPr>
            <w:tcW w:w="9468" w:type="dxa"/>
            <w:gridSpan w:val="2"/>
            <w:tcBorders>
              <w:top w:val="single" w:sz="4" w:space="0" w:color="auto"/>
              <w:left w:val="single" w:sz="4" w:space="0" w:color="auto"/>
              <w:bottom w:val="single" w:sz="4" w:space="0" w:color="auto"/>
              <w:right w:val="single" w:sz="4" w:space="0" w:color="auto"/>
            </w:tcBorders>
          </w:tcPr>
          <w:p w:rsidR="001437B5" w:rsidRPr="001437B5" w:rsidRDefault="001437B5" w:rsidP="009763AA">
            <w:pPr>
              <w:spacing w:before="120"/>
              <w:jc w:val="both"/>
              <w:rPr>
                <w:b/>
                <w:sz w:val="22"/>
                <w:szCs w:val="22"/>
              </w:rPr>
            </w:pPr>
            <w:r w:rsidRPr="001437B5">
              <w:rPr>
                <w:b/>
                <w:sz w:val="22"/>
                <w:szCs w:val="22"/>
              </w:rPr>
              <w:t>TOTAL SCORE</w:t>
            </w:r>
          </w:p>
        </w:tc>
        <w:tc>
          <w:tcPr>
            <w:tcW w:w="529" w:type="dxa"/>
            <w:tcBorders>
              <w:top w:val="single" w:sz="4" w:space="0" w:color="auto"/>
              <w:left w:val="single" w:sz="4" w:space="0" w:color="auto"/>
              <w:bottom w:val="single" w:sz="4" w:space="0" w:color="auto"/>
              <w:right w:val="single" w:sz="4" w:space="0" w:color="auto"/>
            </w:tcBorders>
          </w:tcPr>
          <w:p w:rsidR="001437B5" w:rsidRPr="001437B5" w:rsidRDefault="001437B5" w:rsidP="009763AA">
            <w:pPr>
              <w:spacing w:before="120"/>
              <w:jc w:val="center"/>
              <w:rPr>
                <w:b/>
                <w:sz w:val="22"/>
                <w:szCs w:val="22"/>
              </w:rPr>
            </w:pPr>
            <w:r w:rsidRPr="001437B5">
              <w:rPr>
                <w:b/>
                <w:sz w:val="22"/>
                <w:szCs w:val="22"/>
              </w:rPr>
              <w:t>50</w:t>
            </w:r>
          </w:p>
        </w:tc>
      </w:tr>
    </w:tbl>
    <w:p w:rsidR="0021355F" w:rsidRPr="0021355F" w:rsidRDefault="0021355F" w:rsidP="009763AA">
      <w:pPr>
        <w:widowControl/>
        <w:spacing w:before="120" w:after="120"/>
        <w:jc w:val="both"/>
        <w:rPr>
          <w:color w:val="auto"/>
          <w:sz w:val="22"/>
          <w:szCs w:val="20"/>
          <w:lang w:bidi="ar-SA"/>
        </w:rPr>
      </w:pPr>
      <w:r w:rsidRPr="0021355F">
        <w:rPr>
          <w:color w:val="auto"/>
          <w:sz w:val="22"/>
          <w:szCs w:val="20"/>
          <w:lang w:bidi="ar-SA"/>
        </w:rPr>
        <w:lastRenderedPageBreak/>
        <w:t>**these scores are multiplied by 2 because of their importance</w:t>
      </w:r>
    </w:p>
    <w:p w:rsidR="000B5BFC" w:rsidRDefault="000B5BFC" w:rsidP="009763AA">
      <w:pPr>
        <w:rPr>
          <w:sz w:val="2"/>
          <w:szCs w:val="2"/>
        </w:rPr>
      </w:pPr>
    </w:p>
    <w:p w:rsidR="000B5BFC" w:rsidRDefault="00764274" w:rsidP="007C2B43">
      <w:pPr>
        <w:pStyle w:val="Bodytext21"/>
        <w:shd w:val="clear" w:color="auto" w:fill="auto"/>
        <w:spacing w:before="155" w:after="200" w:line="240" w:lineRule="auto"/>
        <w:ind w:right="260" w:firstLine="0"/>
      </w:pPr>
      <w:r>
        <w:t>Note: A score of 5 (very good) will only be allocated if the proposal specifically addresses more than the required minimum number of priorities as indicated in Section 1.2 (objectives of the programme) of these guidelines.</w:t>
      </w:r>
    </w:p>
    <w:p w:rsidR="000B5BFC" w:rsidRDefault="00764274" w:rsidP="007C2B43">
      <w:pPr>
        <w:pStyle w:val="Bodytext21"/>
        <w:shd w:val="clear" w:color="auto" w:fill="auto"/>
        <w:spacing w:before="0" w:after="0" w:line="240" w:lineRule="auto"/>
        <w:ind w:right="260" w:firstLine="0"/>
      </w:pPr>
      <w:r>
        <w:t xml:space="preserve">Once all concept </w:t>
      </w:r>
      <w:r>
        <w:rPr>
          <w:lang w:val="hr-HR" w:eastAsia="hr-HR" w:bidi="hr-HR"/>
        </w:rPr>
        <w:t xml:space="preserve">notes </w:t>
      </w:r>
      <w:r>
        <w:t xml:space="preserve">have been assessed, a </w:t>
      </w:r>
      <w:r>
        <w:rPr>
          <w:lang w:val="hr-HR" w:eastAsia="hr-HR" w:bidi="hr-HR"/>
        </w:rPr>
        <w:t xml:space="preserve">list </w:t>
      </w:r>
      <w:r>
        <w:t>will be drawn up with the proposed actions ranked according to their total score.</w:t>
      </w:r>
    </w:p>
    <w:p w:rsidR="000B5BFC" w:rsidRDefault="00764274" w:rsidP="007C2B43">
      <w:pPr>
        <w:pStyle w:val="Bodytext21"/>
        <w:shd w:val="clear" w:color="auto" w:fill="auto"/>
        <w:spacing w:before="0" w:after="208" w:line="240" w:lineRule="auto"/>
        <w:ind w:firstLine="0"/>
      </w:pPr>
      <w:r>
        <w:t xml:space="preserve">Firstly, only the concept notes with a score of at least </w:t>
      </w:r>
      <w:r w:rsidR="0021355F">
        <w:t>30</w:t>
      </w:r>
      <w:r>
        <w:t>will be considered for pre-selection.</w:t>
      </w:r>
    </w:p>
    <w:p w:rsidR="000B5BFC" w:rsidRDefault="00764274" w:rsidP="007C2B43">
      <w:pPr>
        <w:pStyle w:val="Bodytext21"/>
        <w:shd w:val="clear" w:color="auto" w:fill="auto"/>
        <w:spacing w:before="0" w:after="196" w:line="240" w:lineRule="auto"/>
        <w:ind w:firstLine="0"/>
      </w:pPr>
      <w:r>
        <w:t xml:space="preserve">Secondly, the number of concept notes will be reduced, taking account of the ranking, to the number of </w:t>
      </w:r>
      <w:r w:rsidR="00DD2F09">
        <w:t>concepts</w:t>
      </w:r>
      <w:r>
        <w:t xml:space="preserve"> notes whose total aggregate amount of requested contributions is equal to at least 200% of the available budget for this call for proposals. The amount of requested contributions of each concept note will be based on the indicative financial envelopes </w:t>
      </w:r>
      <w:r w:rsidRPr="007869AD">
        <w:rPr>
          <w:lang w:eastAsia="da-DK" w:bidi="da-DK"/>
        </w:rPr>
        <w:t xml:space="preserve">for </w:t>
      </w:r>
      <w:r>
        <w:t xml:space="preserve">each </w:t>
      </w:r>
      <w:r>
        <w:rPr>
          <w:lang w:val="cs-CZ" w:eastAsia="cs-CZ" w:bidi="cs-CZ"/>
        </w:rPr>
        <w:t xml:space="preserve">lot, </w:t>
      </w:r>
      <w:r>
        <w:t>where relevant.</w:t>
      </w:r>
    </w:p>
    <w:p w:rsidR="000B5BFC" w:rsidRDefault="00764274" w:rsidP="007C2B43">
      <w:pPr>
        <w:pStyle w:val="Bodytext21"/>
        <w:shd w:val="clear" w:color="auto" w:fill="auto"/>
        <w:spacing w:before="0" w:after="208" w:line="240" w:lineRule="auto"/>
        <w:ind w:firstLine="0"/>
      </w:pPr>
      <w:r>
        <w:t xml:space="preserve">Lead applicants will receive a </w:t>
      </w:r>
      <w:r w:rsidRPr="007869AD">
        <w:rPr>
          <w:lang w:eastAsia="da-DK" w:bidi="da-DK"/>
        </w:rPr>
        <w:t xml:space="preserve">letter </w:t>
      </w:r>
      <w:r>
        <w:t xml:space="preserve">indicating the </w:t>
      </w:r>
      <w:r>
        <w:rPr>
          <w:lang w:val="hr-HR" w:eastAsia="hr-HR" w:bidi="hr-HR"/>
        </w:rPr>
        <w:t xml:space="preserve">reference </w:t>
      </w:r>
      <w:r>
        <w:t xml:space="preserve">number of their application and the respective results. This letter will automatically appear online in the PROSPECT profile of the lead applicant. Lead applicants who, in exceptional cases (see section 2.2), had to submit their application by post or </w:t>
      </w:r>
      <w:r w:rsidRPr="007869AD">
        <w:rPr>
          <w:lang w:eastAsia="de-DE" w:bidi="de-DE"/>
        </w:rPr>
        <w:t>hand</w:t>
      </w:r>
      <w:r w:rsidRPr="007869AD">
        <w:rPr>
          <w:lang w:eastAsia="de-DE" w:bidi="de-DE"/>
        </w:rPr>
        <w:softHyphen/>
      </w:r>
      <w:r w:rsidR="00227276">
        <w:rPr>
          <w:lang w:eastAsia="de-DE" w:bidi="de-DE"/>
        </w:rPr>
        <w:t>-</w:t>
      </w:r>
      <w:r w:rsidRPr="007869AD">
        <w:rPr>
          <w:lang w:eastAsia="de-DE" w:bidi="de-DE"/>
        </w:rPr>
        <w:t>delivery</w:t>
      </w:r>
      <w:r>
        <w:t xml:space="preserve"> will receive the letter by email or by post if no e-mail address was provided.</w:t>
      </w:r>
    </w:p>
    <w:p w:rsidR="000B5BFC" w:rsidRDefault="00764274" w:rsidP="007C2B43">
      <w:pPr>
        <w:pStyle w:val="Bodytext21"/>
        <w:shd w:val="clear" w:color="auto" w:fill="auto"/>
        <w:spacing w:before="0" w:after="0" w:line="240" w:lineRule="auto"/>
        <w:ind w:firstLine="0"/>
      </w:pPr>
      <w:r>
        <w:t>The pre-selected lead applicants will subsequently be invited to submit full applications.</w:t>
      </w:r>
    </w:p>
    <w:p w:rsidR="00071531" w:rsidRDefault="00071531" w:rsidP="007C2B43">
      <w:pPr>
        <w:pStyle w:val="Bodytext21"/>
        <w:shd w:val="clear" w:color="auto" w:fill="auto"/>
        <w:spacing w:before="0" w:after="0" w:line="240" w:lineRule="auto"/>
        <w:ind w:firstLine="0"/>
      </w:pPr>
    </w:p>
    <w:p w:rsidR="00071531" w:rsidRDefault="00071531" w:rsidP="007C2B43">
      <w:pPr>
        <w:pStyle w:val="Bodytext21"/>
        <w:shd w:val="clear" w:color="auto" w:fill="auto"/>
        <w:spacing w:before="0" w:after="0" w:line="240" w:lineRule="auto"/>
        <w:ind w:firstLine="0"/>
      </w:pPr>
    </w:p>
    <w:p w:rsidR="000B5BFC" w:rsidRPr="00DC2D58" w:rsidRDefault="00764274" w:rsidP="009763AA">
      <w:pPr>
        <w:pStyle w:val="NoSpacing"/>
        <w:numPr>
          <w:ilvl w:val="0"/>
          <w:numId w:val="45"/>
        </w:numPr>
        <w:rPr>
          <w:b/>
          <w:sz w:val="22"/>
          <w:szCs w:val="22"/>
        </w:rPr>
      </w:pPr>
      <w:r w:rsidRPr="00DC2D58">
        <w:rPr>
          <w:b/>
          <w:sz w:val="22"/>
          <w:szCs w:val="22"/>
        </w:rPr>
        <w:t>STEP 2: EVALUATION OF THE FULL APPLICATION</w:t>
      </w:r>
    </w:p>
    <w:p w:rsidR="00480E34" w:rsidRDefault="00480E34" w:rsidP="007C2B43">
      <w:pPr>
        <w:pStyle w:val="Bodytext21"/>
        <w:shd w:val="clear" w:color="auto" w:fill="auto"/>
        <w:spacing w:before="0" w:after="200" w:line="240" w:lineRule="auto"/>
        <w:ind w:firstLine="0"/>
      </w:pPr>
    </w:p>
    <w:p w:rsidR="000B5BFC" w:rsidRDefault="00764274" w:rsidP="007C2B43">
      <w:pPr>
        <w:pStyle w:val="Bodytext21"/>
        <w:shd w:val="clear" w:color="auto" w:fill="auto"/>
        <w:spacing w:before="0" w:after="200" w:line="240" w:lineRule="auto"/>
        <w:ind w:firstLine="0"/>
      </w:pPr>
      <w:r>
        <w:t>Firstly, the following will be assessed:</w:t>
      </w:r>
    </w:p>
    <w:p w:rsidR="0021355F" w:rsidRDefault="0021355F" w:rsidP="007C2B43">
      <w:pPr>
        <w:pStyle w:val="Bodytext21"/>
        <w:numPr>
          <w:ilvl w:val="0"/>
          <w:numId w:val="3"/>
        </w:numPr>
        <w:shd w:val="clear" w:color="auto" w:fill="auto"/>
        <w:tabs>
          <w:tab w:val="left" w:pos="752"/>
        </w:tabs>
        <w:spacing w:before="0" w:after="200" w:line="240" w:lineRule="auto"/>
        <w:ind w:left="760" w:hanging="360"/>
      </w:pPr>
      <w:r w:rsidRPr="0021355F">
        <w:t>If the submission deadline has been met. Otherwise, the application will automatically be rejected</w:t>
      </w:r>
      <w:r w:rsidR="00EF5A3F">
        <w:t>.</w:t>
      </w:r>
    </w:p>
    <w:p w:rsidR="000B5BFC" w:rsidRDefault="00764274" w:rsidP="007C2B43">
      <w:pPr>
        <w:pStyle w:val="Bodytext21"/>
        <w:numPr>
          <w:ilvl w:val="0"/>
          <w:numId w:val="3"/>
        </w:numPr>
        <w:shd w:val="clear" w:color="auto" w:fill="auto"/>
        <w:tabs>
          <w:tab w:val="left" w:pos="752"/>
        </w:tabs>
        <w:spacing w:before="0" w:after="200" w:line="240" w:lineRule="auto"/>
        <w:ind w:left="760" w:hanging="360"/>
      </w:pPr>
      <w:r>
        <w:t xml:space="preserve">If the full application satisfies all the criteria specified in the checklist (Section 7 of Part B of the grant application form). This includes also an assessment of the eligibility of the action. If any of the requested information is missing or is incorrect, the application may be rejected on that </w:t>
      </w:r>
      <w:r>
        <w:rPr>
          <w:rStyle w:val="Bodytext2Bold1"/>
        </w:rPr>
        <w:t>sole</w:t>
      </w:r>
      <w:r w:rsidR="00480E34">
        <w:rPr>
          <w:rStyle w:val="Bodytext2Bold1"/>
        </w:rPr>
        <w:t xml:space="preserve"> </w:t>
      </w:r>
      <w:r>
        <w:t>basis and the application will not be evaluated further.</w:t>
      </w:r>
    </w:p>
    <w:p w:rsidR="000B5BFC" w:rsidRDefault="00764274" w:rsidP="007C2B43">
      <w:pPr>
        <w:pStyle w:val="Bodytext21"/>
        <w:shd w:val="clear" w:color="auto" w:fill="auto"/>
        <w:spacing w:before="0" w:after="200" w:line="240" w:lineRule="auto"/>
        <w:ind w:firstLine="0"/>
      </w:pPr>
      <w:r>
        <w:t>The full applications that pass this check will be further evaluated on their quality, including the proposed budget and capacity of the applicants and affiliated entity(</w:t>
      </w:r>
      <w:proofErr w:type="spellStart"/>
      <w:r>
        <w:t>ies</w:t>
      </w:r>
      <w:proofErr w:type="spellEnd"/>
      <w:r>
        <w:t>). They will be evaluated using the evaluation criteria in the evaluation grid below. There are two types of evaluation criteria: selection and award criteria.</w:t>
      </w:r>
    </w:p>
    <w:p w:rsidR="000B5BFC" w:rsidRDefault="00764274" w:rsidP="007C2B43">
      <w:pPr>
        <w:pStyle w:val="Bodytext21"/>
        <w:shd w:val="clear" w:color="auto" w:fill="auto"/>
        <w:spacing w:before="0" w:after="200" w:line="240" w:lineRule="auto"/>
        <w:ind w:firstLine="0"/>
      </w:pPr>
      <w:r>
        <w:rPr>
          <w:rStyle w:val="Bodytext2Bold1"/>
        </w:rPr>
        <w:t>The selection criteria</w:t>
      </w:r>
      <w:r>
        <w:t>help to evaluate the applicant(s)'s and affiliated entity(</w:t>
      </w:r>
      <w:proofErr w:type="spellStart"/>
      <w:r>
        <w:t>ies</w:t>
      </w:r>
      <w:proofErr w:type="spellEnd"/>
      <w:r>
        <w:t>)'s operational capacity and the lead applicant's financial capacity and are used to verify that they:</w:t>
      </w:r>
    </w:p>
    <w:p w:rsidR="000B5BFC" w:rsidRDefault="00764274" w:rsidP="007C2B43">
      <w:pPr>
        <w:pStyle w:val="Bodytext21"/>
        <w:numPr>
          <w:ilvl w:val="0"/>
          <w:numId w:val="3"/>
        </w:numPr>
        <w:shd w:val="clear" w:color="auto" w:fill="auto"/>
        <w:tabs>
          <w:tab w:val="left" w:pos="752"/>
        </w:tabs>
        <w:spacing w:before="0" w:after="200" w:line="240" w:lineRule="auto"/>
        <w:ind w:left="760" w:hanging="360"/>
      </w:pPr>
      <w:r>
        <w:t>have stable and sufficient sources of finance to maintain their activity throughout the proposed action and, where appropriate, to participate in its funding (this only applies to lead applicants);</w:t>
      </w:r>
    </w:p>
    <w:p w:rsidR="000B5BFC" w:rsidRDefault="00764274" w:rsidP="007C2B43">
      <w:pPr>
        <w:pStyle w:val="Bodytext21"/>
        <w:numPr>
          <w:ilvl w:val="0"/>
          <w:numId w:val="3"/>
        </w:numPr>
        <w:shd w:val="clear" w:color="auto" w:fill="auto"/>
        <w:tabs>
          <w:tab w:val="left" w:pos="752"/>
        </w:tabs>
        <w:spacing w:before="0" w:after="200" w:line="240" w:lineRule="auto"/>
        <w:ind w:left="760" w:hanging="360"/>
      </w:pPr>
      <w:r>
        <w:t>have the management capacity, professional competencies and qualifications required to successfully complete the proposed action. This applies to applicants and any affiliated entity(</w:t>
      </w:r>
      <w:proofErr w:type="spellStart"/>
      <w:r>
        <w:t>ies</w:t>
      </w:r>
      <w:proofErr w:type="spellEnd"/>
      <w:r>
        <w:t>).</w:t>
      </w:r>
    </w:p>
    <w:p w:rsidR="000B5BFC" w:rsidRDefault="00764274" w:rsidP="007C2B43">
      <w:pPr>
        <w:pStyle w:val="Bodytext21"/>
        <w:shd w:val="clear" w:color="auto" w:fill="auto"/>
        <w:spacing w:before="0" w:after="200" w:line="240" w:lineRule="auto"/>
        <w:ind w:firstLine="0"/>
      </w:pPr>
      <w:r>
        <w:t>For the purpose of the evaluation of the financial capacity, lead applicants must ensure that the relevant information and documents (i.e. accounts of the latest financial year and external audit report, where applicable) in their PADOR profile are up to date. If the information and documents in PADOR are outdated and do not allow for a proper evaluation of the financial capacity, the application may be rejected.</w:t>
      </w:r>
    </w:p>
    <w:p w:rsidR="000B5BFC" w:rsidRDefault="00764274" w:rsidP="007C2B43">
      <w:pPr>
        <w:pStyle w:val="Bodytext21"/>
        <w:shd w:val="clear" w:color="auto" w:fill="auto"/>
        <w:spacing w:before="0" w:after="208" w:line="240" w:lineRule="auto"/>
        <w:ind w:firstLine="0"/>
      </w:pPr>
      <w:r>
        <w:rPr>
          <w:rStyle w:val="Bodytext2Bold1"/>
        </w:rPr>
        <w:t>The award criteria</w:t>
      </w:r>
      <w:r>
        <w:t xml:space="preserve">help to evaluate the quality of the applications in relation to the objectives and priorities set forth in the guidelines, and to award grants to projects which maximise the overall effectiveness of the call </w:t>
      </w:r>
      <w:r w:rsidRPr="007869AD">
        <w:rPr>
          <w:lang w:eastAsia="da-DK" w:bidi="da-DK"/>
        </w:rPr>
        <w:t xml:space="preserve">for </w:t>
      </w:r>
      <w:r>
        <w:t xml:space="preserve">proposals. They help to select applications which the contracting authority can be confident will comply with its objectives and priorities. They cover the relevance of the action, its consistency with the objectives of </w:t>
      </w:r>
      <w:r>
        <w:lastRenderedPageBreak/>
        <w:t>the call for proposals, quality, expected impact, sustainability and cost-effectiveness.</w:t>
      </w:r>
    </w:p>
    <w:p w:rsidR="000B5BFC" w:rsidRDefault="00764274" w:rsidP="007C2B43">
      <w:pPr>
        <w:pStyle w:val="Bodytext110"/>
        <w:shd w:val="clear" w:color="auto" w:fill="auto"/>
        <w:spacing w:before="0" w:after="192" w:line="240" w:lineRule="auto"/>
      </w:pPr>
      <w:r>
        <w:t>Scoring:</w:t>
      </w:r>
    </w:p>
    <w:p w:rsidR="000B5BFC" w:rsidRDefault="00764274" w:rsidP="007C2B43">
      <w:pPr>
        <w:pStyle w:val="Bodytext21"/>
        <w:shd w:val="clear" w:color="auto" w:fill="auto"/>
        <w:spacing w:before="0" w:after="0" w:line="240" w:lineRule="auto"/>
        <w:ind w:firstLine="0"/>
      </w:pPr>
      <w:r>
        <w:t>The evaluation grid is divided into Sections and subsections. Each subsection will be given a score between 1 and 5 as follows: 1 = very poor; 2 = poor; 3 = adequate; 4 = good; 5 = very good.</w:t>
      </w:r>
    </w:p>
    <w:p w:rsidR="000B5BFC" w:rsidRDefault="000B5BFC" w:rsidP="009763AA">
      <w:pPr>
        <w:rPr>
          <w:sz w:val="2"/>
          <w:szCs w:val="2"/>
        </w:rPr>
      </w:pPr>
    </w:p>
    <w:p w:rsidR="001437B5" w:rsidRDefault="001437B5" w:rsidP="007C2B43">
      <w:pPr>
        <w:pStyle w:val="Bodytext21"/>
        <w:shd w:val="clear" w:color="auto" w:fill="auto"/>
        <w:spacing w:before="155" w:after="200" w:line="240" w:lineRule="auto"/>
        <w:ind w:firstLine="0"/>
      </w:pPr>
    </w:p>
    <w:p w:rsidR="001437B5" w:rsidRDefault="001437B5" w:rsidP="007C2B43">
      <w:pPr>
        <w:pStyle w:val="Bodytext21"/>
        <w:shd w:val="clear" w:color="auto" w:fill="auto"/>
        <w:spacing w:before="155" w:after="200" w:line="240" w:lineRule="auto"/>
        <w:ind w:firstLine="0"/>
      </w:pPr>
    </w:p>
    <w:p w:rsidR="001437B5" w:rsidRPr="00C54889" w:rsidRDefault="001437B5" w:rsidP="009763AA">
      <w:pPr>
        <w:rPr>
          <w:b/>
          <w:sz w:val="22"/>
          <w:szCs w:val="22"/>
        </w:rPr>
      </w:pPr>
      <w:r w:rsidRPr="00C54889">
        <w:rPr>
          <w:b/>
          <w:sz w:val="22"/>
          <w:szCs w:val="22"/>
        </w:rPr>
        <w:t>Evaluation grid</w:t>
      </w:r>
    </w:p>
    <w:p w:rsidR="001437B5" w:rsidRPr="00C54889" w:rsidRDefault="001437B5" w:rsidP="009763AA">
      <w:pPr>
        <w:rPr>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1269"/>
      </w:tblGrid>
      <w:tr w:rsidR="001437B5" w:rsidRPr="00C54889" w:rsidTr="000F1E37">
        <w:tc>
          <w:tcPr>
            <w:tcW w:w="8478" w:type="dxa"/>
            <w:vAlign w:val="center"/>
          </w:tcPr>
          <w:p w:rsidR="001437B5" w:rsidRPr="00C54889" w:rsidRDefault="001437B5" w:rsidP="009763AA">
            <w:pPr>
              <w:spacing w:before="120"/>
              <w:jc w:val="both"/>
              <w:rPr>
                <w:b/>
                <w:sz w:val="22"/>
                <w:szCs w:val="22"/>
              </w:rPr>
            </w:pPr>
            <w:r w:rsidRPr="00C54889">
              <w:rPr>
                <w:b/>
                <w:sz w:val="22"/>
                <w:szCs w:val="22"/>
              </w:rPr>
              <w:t>Section</w:t>
            </w:r>
          </w:p>
        </w:tc>
        <w:tc>
          <w:tcPr>
            <w:tcW w:w="1269" w:type="dxa"/>
            <w:vAlign w:val="center"/>
          </w:tcPr>
          <w:p w:rsidR="001437B5" w:rsidRPr="00C54889" w:rsidRDefault="001437B5" w:rsidP="001A23A8">
            <w:pPr>
              <w:spacing w:before="120"/>
              <w:jc w:val="center"/>
              <w:rPr>
                <w:b/>
                <w:sz w:val="22"/>
                <w:szCs w:val="22"/>
              </w:rPr>
            </w:pPr>
            <w:r w:rsidRPr="00C54889">
              <w:rPr>
                <w:b/>
                <w:sz w:val="22"/>
                <w:szCs w:val="22"/>
              </w:rPr>
              <w:t>Maximum Score</w:t>
            </w:r>
          </w:p>
        </w:tc>
      </w:tr>
      <w:tr w:rsidR="001437B5" w:rsidRPr="00C54889" w:rsidTr="000F1E37">
        <w:tc>
          <w:tcPr>
            <w:tcW w:w="8478" w:type="dxa"/>
            <w:shd w:val="pct10" w:color="auto" w:fill="FFFFFF"/>
            <w:vAlign w:val="center"/>
          </w:tcPr>
          <w:p w:rsidR="001437B5" w:rsidRPr="00C54889" w:rsidRDefault="001437B5" w:rsidP="009763AA">
            <w:pPr>
              <w:spacing w:before="120"/>
              <w:jc w:val="both"/>
              <w:rPr>
                <w:sz w:val="22"/>
                <w:szCs w:val="22"/>
              </w:rPr>
            </w:pPr>
            <w:r w:rsidRPr="00C54889">
              <w:rPr>
                <w:b/>
                <w:sz w:val="22"/>
                <w:szCs w:val="22"/>
              </w:rPr>
              <w:t>1. Financial and operational capacity</w:t>
            </w:r>
          </w:p>
        </w:tc>
        <w:tc>
          <w:tcPr>
            <w:tcW w:w="1269" w:type="dxa"/>
            <w:shd w:val="pct10" w:color="auto" w:fill="FFFFFF"/>
            <w:vAlign w:val="center"/>
          </w:tcPr>
          <w:p w:rsidR="001437B5" w:rsidRPr="00C54889" w:rsidRDefault="001437B5" w:rsidP="009763AA">
            <w:pPr>
              <w:spacing w:before="120"/>
              <w:jc w:val="center"/>
              <w:rPr>
                <w:b/>
                <w:sz w:val="22"/>
                <w:szCs w:val="22"/>
              </w:rPr>
            </w:pPr>
            <w:r w:rsidRPr="00C54889">
              <w:rPr>
                <w:b/>
                <w:sz w:val="22"/>
                <w:szCs w:val="22"/>
              </w:rPr>
              <w:t>20</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1.1</w:t>
            </w:r>
            <w:r w:rsidRPr="00C54889">
              <w:rPr>
                <w:sz w:val="22"/>
                <w:szCs w:val="22"/>
              </w:rPr>
              <w:tab/>
              <w:t>Do the applicants and, if applicable, their affiliated entity(</w:t>
            </w:r>
            <w:proofErr w:type="spellStart"/>
            <w:r w:rsidRPr="00C54889">
              <w:rPr>
                <w:sz w:val="22"/>
                <w:szCs w:val="22"/>
              </w:rPr>
              <w:t>ies</w:t>
            </w:r>
            <w:proofErr w:type="spellEnd"/>
            <w:r w:rsidRPr="00C54889">
              <w:rPr>
                <w:sz w:val="22"/>
                <w:szCs w:val="22"/>
              </w:rPr>
              <w:t>) have sufficient in-house experience of project</w:t>
            </w:r>
            <w:r w:rsidR="008B74FF">
              <w:rPr>
                <w:sz w:val="22"/>
                <w:szCs w:val="22"/>
              </w:rPr>
              <w:t xml:space="preserve"> </w:t>
            </w:r>
            <w:r w:rsidRPr="00C54889">
              <w:rPr>
                <w:sz w:val="22"/>
                <w:szCs w:val="22"/>
              </w:rPr>
              <w:t xml:space="preserve">management? </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1.2</w:t>
            </w:r>
            <w:r w:rsidRPr="00C54889">
              <w:rPr>
                <w:sz w:val="22"/>
                <w:szCs w:val="22"/>
              </w:rPr>
              <w:tab/>
              <w:t>Do the applicants and, if applicable, their affiliated entity(</w:t>
            </w:r>
            <w:proofErr w:type="spellStart"/>
            <w:r w:rsidRPr="00C54889">
              <w:rPr>
                <w:sz w:val="22"/>
                <w:szCs w:val="22"/>
              </w:rPr>
              <w:t>ies</w:t>
            </w:r>
            <w:proofErr w:type="spellEnd"/>
            <w:r w:rsidRPr="00C54889">
              <w:rPr>
                <w:sz w:val="22"/>
                <w:szCs w:val="22"/>
              </w:rPr>
              <w:t>) have sufficient in-house technical expertise? (especially knowledge of the issues to be addressed)</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Borders>
              <w:bottom w:val="nil"/>
            </w:tcBorders>
          </w:tcPr>
          <w:p w:rsidR="001437B5" w:rsidRPr="00C54889" w:rsidRDefault="001437B5" w:rsidP="009763AA">
            <w:pPr>
              <w:spacing w:before="120"/>
              <w:ind w:left="425" w:hanging="425"/>
              <w:jc w:val="both"/>
              <w:rPr>
                <w:sz w:val="22"/>
                <w:szCs w:val="22"/>
              </w:rPr>
            </w:pPr>
            <w:r w:rsidRPr="00C54889">
              <w:rPr>
                <w:sz w:val="22"/>
                <w:szCs w:val="22"/>
              </w:rPr>
              <w:t>1.3</w:t>
            </w:r>
            <w:r w:rsidRPr="00C54889">
              <w:rPr>
                <w:sz w:val="22"/>
                <w:szCs w:val="22"/>
              </w:rPr>
              <w:tab/>
              <w:t>Do the applicants and, if applicable, their affiliated entity(</w:t>
            </w:r>
            <w:proofErr w:type="spellStart"/>
            <w:r w:rsidRPr="00C54889">
              <w:rPr>
                <w:sz w:val="22"/>
                <w:szCs w:val="22"/>
              </w:rPr>
              <w:t>ies</w:t>
            </w:r>
            <w:proofErr w:type="spellEnd"/>
            <w:r w:rsidRPr="00C54889">
              <w:rPr>
                <w:sz w:val="22"/>
                <w:szCs w:val="22"/>
              </w:rPr>
              <w:t>) have sufficient in-house management capacity? (Including staff, equipment and ability to handle the budget for the action)?</w:t>
            </w:r>
          </w:p>
        </w:tc>
        <w:tc>
          <w:tcPr>
            <w:tcW w:w="1269" w:type="dxa"/>
            <w:tcBorders>
              <w:bottom w:val="nil"/>
            </w:tcBorders>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Borders>
              <w:bottom w:val="single" w:sz="4" w:space="0" w:color="auto"/>
            </w:tcBorders>
          </w:tcPr>
          <w:p w:rsidR="001437B5" w:rsidRPr="00C54889" w:rsidRDefault="001437B5" w:rsidP="009763AA">
            <w:pPr>
              <w:spacing w:before="120"/>
              <w:ind w:left="425" w:hanging="425"/>
              <w:jc w:val="both"/>
              <w:rPr>
                <w:sz w:val="22"/>
                <w:szCs w:val="22"/>
              </w:rPr>
            </w:pPr>
            <w:r w:rsidRPr="00C54889">
              <w:rPr>
                <w:sz w:val="22"/>
                <w:szCs w:val="22"/>
              </w:rPr>
              <w:t>1.4</w:t>
            </w:r>
            <w:r w:rsidRPr="00C54889">
              <w:rPr>
                <w:sz w:val="22"/>
                <w:szCs w:val="22"/>
              </w:rPr>
              <w:tab/>
              <w:t>Does the lead applicant have stable and sufficient sources of finance?</w:t>
            </w:r>
          </w:p>
        </w:tc>
        <w:tc>
          <w:tcPr>
            <w:tcW w:w="1269" w:type="dxa"/>
            <w:tcBorders>
              <w:bottom w:val="single" w:sz="4" w:space="0" w:color="auto"/>
            </w:tcBorders>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Borders>
              <w:bottom w:val="single" w:sz="4" w:space="0" w:color="auto"/>
            </w:tcBorders>
            <w:shd w:val="pct10" w:color="auto" w:fill="FFFFFF"/>
          </w:tcPr>
          <w:p w:rsidR="001437B5" w:rsidRPr="00C54889" w:rsidRDefault="001437B5" w:rsidP="009763AA">
            <w:pPr>
              <w:spacing w:before="120"/>
              <w:jc w:val="both"/>
              <w:rPr>
                <w:sz w:val="22"/>
                <w:szCs w:val="22"/>
              </w:rPr>
            </w:pPr>
            <w:r w:rsidRPr="00C54889">
              <w:rPr>
                <w:b/>
                <w:sz w:val="22"/>
                <w:szCs w:val="22"/>
              </w:rPr>
              <w:t>2. Relevance</w:t>
            </w:r>
          </w:p>
        </w:tc>
        <w:tc>
          <w:tcPr>
            <w:tcW w:w="1269" w:type="dxa"/>
            <w:tcBorders>
              <w:bottom w:val="single" w:sz="4" w:space="0" w:color="auto"/>
            </w:tcBorders>
            <w:shd w:val="pct10" w:color="auto" w:fill="FFFFFF"/>
            <w:vAlign w:val="center"/>
          </w:tcPr>
          <w:p w:rsidR="001437B5" w:rsidRPr="00C54889" w:rsidRDefault="00996E2D" w:rsidP="009763AA">
            <w:pPr>
              <w:spacing w:before="120"/>
              <w:jc w:val="center"/>
              <w:rPr>
                <w:b/>
                <w:sz w:val="22"/>
                <w:szCs w:val="22"/>
              </w:rPr>
            </w:pPr>
            <w:r>
              <w:rPr>
                <w:b/>
                <w:sz w:val="22"/>
                <w:szCs w:val="22"/>
              </w:rPr>
              <w:t>2</w:t>
            </w:r>
            <w:r w:rsidR="001437B5" w:rsidRPr="00C54889">
              <w:rPr>
                <w:b/>
                <w:sz w:val="22"/>
                <w:szCs w:val="22"/>
              </w:rPr>
              <w:t>0</w:t>
            </w:r>
          </w:p>
        </w:tc>
      </w:tr>
      <w:tr w:rsidR="001437B5" w:rsidRPr="00C54889" w:rsidTr="000F1E37">
        <w:tc>
          <w:tcPr>
            <w:tcW w:w="8478" w:type="dxa"/>
            <w:shd w:val="clear" w:color="auto" w:fill="FFFFFF"/>
          </w:tcPr>
          <w:p w:rsidR="001437B5" w:rsidRPr="00C54889" w:rsidRDefault="001437B5" w:rsidP="009763AA">
            <w:pPr>
              <w:spacing w:before="120"/>
              <w:jc w:val="both"/>
              <w:rPr>
                <w:i/>
                <w:sz w:val="22"/>
                <w:szCs w:val="22"/>
              </w:rPr>
            </w:pPr>
            <w:r w:rsidRPr="00C54889">
              <w:rPr>
                <w:i/>
                <w:sz w:val="22"/>
                <w:szCs w:val="22"/>
              </w:rPr>
              <w:t>Score transferred from the Concept Note evaluation</w:t>
            </w:r>
          </w:p>
        </w:tc>
        <w:tc>
          <w:tcPr>
            <w:tcW w:w="1269" w:type="dxa"/>
            <w:shd w:val="clear" w:color="auto" w:fill="FFFFFF"/>
            <w:vAlign w:val="center"/>
          </w:tcPr>
          <w:p w:rsidR="001437B5" w:rsidRPr="00C54889" w:rsidRDefault="001437B5" w:rsidP="009763AA">
            <w:pPr>
              <w:spacing w:before="120"/>
              <w:jc w:val="center"/>
              <w:rPr>
                <w:b/>
                <w:sz w:val="22"/>
                <w:szCs w:val="22"/>
              </w:rPr>
            </w:pPr>
          </w:p>
        </w:tc>
      </w:tr>
      <w:tr w:rsidR="001437B5" w:rsidRPr="00C54889" w:rsidTr="000F1E37">
        <w:tc>
          <w:tcPr>
            <w:tcW w:w="8478" w:type="dxa"/>
            <w:shd w:val="pct10" w:color="auto" w:fill="FFFFFF"/>
            <w:vAlign w:val="center"/>
          </w:tcPr>
          <w:p w:rsidR="001437B5" w:rsidRPr="00C54889" w:rsidRDefault="001437B5" w:rsidP="009763AA">
            <w:pPr>
              <w:spacing w:before="120"/>
              <w:jc w:val="both"/>
              <w:rPr>
                <w:sz w:val="22"/>
                <w:szCs w:val="22"/>
              </w:rPr>
            </w:pPr>
            <w:r w:rsidRPr="00C54889">
              <w:rPr>
                <w:b/>
                <w:sz w:val="22"/>
                <w:szCs w:val="22"/>
              </w:rPr>
              <w:t>3. Design of the action</w:t>
            </w:r>
          </w:p>
        </w:tc>
        <w:tc>
          <w:tcPr>
            <w:tcW w:w="1269" w:type="dxa"/>
            <w:shd w:val="pct10" w:color="auto" w:fill="FFFFFF"/>
            <w:vAlign w:val="center"/>
          </w:tcPr>
          <w:p w:rsidR="001437B5" w:rsidRPr="00C54889" w:rsidRDefault="001437B5" w:rsidP="009763AA">
            <w:pPr>
              <w:spacing w:before="120"/>
              <w:jc w:val="center"/>
              <w:rPr>
                <w:b/>
                <w:sz w:val="22"/>
                <w:szCs w:val="22"/>
              </w:rPr>
            </w:pPr>
            <w:r w:rsidRPr="00C54889">
              <w:rPr>
                <w:b/>
                <w:sz w:val="22"/>
                <w:szCs w:val="22"/>
              </w:rPr>
              <w:t>1</w:t>
            </w:r>
            <w:r w:rsidR="00EF5A3F">
              <w:rPr>
                <w:b/>
                <w:sz w:val="22"/>
                <w:szCs w:val="22"/>
              </w:rPr>
              <w:t>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3.1</w:t>
            </w:r>
            <w:r w:rsidRPr="00C54889">
              <w:rPr>
                <w:sz w:val="22"/>
                <w:szCs w:val="22"/>
              </w:rPr>
              <w:tab/>
              <w:t>How coherent is the design of the action? Does the proposal indicate the expected results to be achieved by the action? Does the intervention logic explain the rationale to achieve the expected results? Are the activities proposed appropriate, practical, and consistent with the envisaged outputs and outcome(s)?</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Pr>
          <w:p w:rsidR="001437B5" w:rsidRPr="00C54889" w:rsidRDefault="001437B5" w:rsidP="00DE74DC">
            <w:pPr>
              <w:spacing w:before="120"/>
              <w:ind w:left="425" w:hanging="425"/>
              <w:jc w:val="both"/>
              <w:rPr>
                <w:sz w:val="22"/>
                <w:szCs w:val="22"/>
              </w:rPr>
            </w:pPr>
            <w:r w:rsidRPr="00C54889">
              <w:rPr>
                <w:sz w:val="22"/>
                <w:szCs w:val="22"/>
              </w:rPr>
              <w:t>3.2Does the proposal/Logical Framework include credible baseline, targets and sources of verification? If not, is a baseline study foreseen (and is the study budgeted appropriately in the proposal)?</w:t>
            </w:r>
            <w:r w:rsidR="00385945" w:rsidRPr="00C54889">
              <w:rPr>
                <w:sz w:val="22"/>
                <w:szCs w:val="22"/>
              </w:rPr>
              <w:t xml:space="preserve"> </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EF5A3F" w:rsidRPr="00C54889" w:rsidTr="000F1E37">
        <w:tc>
          <w:tcPr>
            <w:tcW w:w="8478" w:type="dxa"/>
          </w:tcPr>
          <w:p w:rsidR="00EF5A3F" w:rsidRPr="00C54889" w:rsidRDefault="00EF5A3F" w:rsidP="009763AA">
            <w:pPr>
              <w:spacing w:before="120"/>
              <w:ind w:left="425" w:hanging="425"/>
              <w:jc w:val="both"/>
              <w:rPr>
                <w:sz w:val="22"/>
                <w:szCs w:val="22"/>
              </w:rPr>
            </w:pPr>
            <w:r>
              <w:rPr>
                <w:sz w:val="22"/>
                <w:szCs w:val="22"/>
              </w:rPr>
              <w:t>3.3</w:t>
            </w:r>
            <w:r>
              <w:rPr>
                <w:sz w:val="22"/>
                <w:szCs w:val="22"/>
              </w:rPr>
              <w:tab/>
            </w:r>
            <w:r w:rsidR="00DE74DC" w:rsidRPr="00DE74DC">
              <w:rPr>
                <w:sz w:val="22"/>
                <w:szCs w:val="22"/>
              </w:rPr>
              <w:t>Does the design reflect a robust analysis of the problems involved, and the capacities of the relevant stakeholders?</w:t>
            </w:r>
          </w:p>
        </w:tc>
        <w:tc>
          <w:tcPr>
            <w:tcW w:w="1269" w:type="dxa"/>
          </w:tcPr>
          <w:p w:rsidR="00EF5A3F" w:rsidRPr="00C54889" w:rsidRDefault="00EF5A3F" w:rsidP="009763AA">
            <w:pPr>
              <w:spacing w:before="120"/>
              <w:jc w:val="center"/>
              <w:rPr>
                <w:sz w:val="22"/>
                <w:szCs w:val="22"/>
              </w:rPr>
            </w:pPr>
            <w:r>
              <w:rPr>
                <w:sz w:val="22"/>
                <w:szCs w:val="22"/>
              </w:rPr>
              <w:t>5</w:t>
            </w:r>
          </w:p>
        </w:tc>
      </w:tr>
      <w:tr w:rsidR="001437B5" w:rsidRPr="00C54889" w:rsidTr="000F1E37">
        <w:tc>
          <w:tcPr>
            <w:tcW w:w="8478" w:type="dxa"/>
            <w:shd w:val="pct10" w:color="auto" w:fill="FFFFFF"/>
            <w:vAlign w:val="center"/>
          </w:tcPr>
          <w:p w:rsidR="001437B5" w:rsidRPr="00C54889" w:rsidRDefault="001437B5" w:rsidP="009763AA">
            <w:pPr>
              <w:spacing w:before="120"/>
              <w:jc w:val="both"/>
              <w:rPr>
                <w:sz w:val="22"/>
                <w:szCs w:val="22"/>
              </w:rPr>
            </w:pPr>
            <w:r w:rsidRPr="00C54889">
              <w:rPr>
                <w:b/>
                <w:sz w:val="22"/>
                <w:szCs w:val="22"/>
              </w:rPr>
              <w:t>4. Implementation approach</w:t>
            </w:r>
          </w:p>
        </w:tc>
        <w:tc>
          <w:tcPr>
            <w:tcW w:w="1269" w:type="dxa"/>
            <w:shd w:val="pct10" w:color="auto" w:fill="FFFFFF"/>
            <w:vAlign w:val="center"/>
          </w:tcPr>
          <w:p w:rsidR="001437B5" w:rsidRPr="00C54889" w:rsidRDefault="001437B5" w:rsidP="009763AA">
            <w:pPr>
              <w:spacing w:before="120"/>
              <w:jc w:val="center"/>
              <w:rPr>
                <w:b/>
                <w:sz w:val="22"/>
                <w:szCs w:val="22"/>
              </w:rPr>
            </w:pPr>
            <w:r w:rsidRPr="00C54889">
              <w:rPr>
                <w:b/>
                <w:sz w:val="22"/>
                <w:szCs w:val="22"/>
              </w:rPr>
              <w:t>1</w:t>
            </w:r>
            <w:r w:rsidR="00DE74DC">
              <w:rPr>
                <w:b/>
                <w:sz w:val="22"/>
                <w:szCs w:val="22"/>
              </w:rPr>
              <w:t>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4.1</w:t>
            </w:r>
            <w:r w:rsidRPr="00C54889">
              <w:rPr>
                <w:sz w:val="22"/>
                <w:szCs w:val="22"/>
              </w:rPr>
              <w:tab/>
              <w:t>Is the action plan for implementing the action clear and feasible? Is the timeline realistic?</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4.2</w:t>
            </w:r>
            <w:r w:rsidRPr="00C54889">
              <w:rPr>
                <w:sz w:val="22"/>
                <w:szCs w:val="22"/>
              </w:rPr>
              <w:tab/>
              <w:t>Does the proposal include an effective and efficient monitoring system? Is there an evaluation planned (previous, during or/and at the end of the implementation)?</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DE74DC" w:rsidRPr="00C54889" w:rsidTr="000F1E37">
        <w:tc>
          <w:tcPr>
            <w:tcW w:w="8478" w:type="dxa"/>
          </w:tcPr>
          <w:p w:rsidR="00DE74DC" w:rsidRPr="00C54889" w:rsidRDefault="00DE74DC" w:rsidP="009763AA">
            <w:pPr>
              <w:spacing w:before="120"/>
              <w:ind w:left="425" w:hanging="425"/>
              <w:jc w:val="both"/>
              <w:rPr>
                <w:sz w:val="22"/>
                <w:szCs w:val="22"/>
              </w:rPr>
            </w:pPr>
            <w:r>
              <w:rPr>
                <w:sz w:val="22"/>
                <w:szCs w:val="22"/>
              </w:rPr>
              <w:t xml:space="preserve">4.3   </w:t>
            </w:r>
            <w:r w:rsidRPr="00DE74DC">
              <w:rPr>
                <w:sz w:val="22"/>
                <w:szCs w:val="22"/>
              </w:rPr>
              <w:t>Is the co-applicant(s)'s and affiliated entity(</w:t>
            </w:r>
            <w:proofErr w:type="spellStart"/>
            <w:r w:rsidRPr="00DE74DC">
              <w:rPr>
                <w:sz w:val="22"/>
                <w:szCs w:val="22"/>
              </w:rPr>
              <w:t>ies</w:t>
            </w:r>
            <w:proofErr w:type="spellEnd"/>
            <w:r w:rsidRPr="00DE74DC">
              <w:rPr>
                <w:sz w:val="22"/>
                <w:szCs w:val="22"/>
              </w:rPr>
              <w:t>)'s level of involvement and participation in the action satisfactory?</w:t>
            </w:r>
          </w:p>
        </w:tc>
        <w:tc>
          <w:tcPr>
            <w:tcW w:w="1269" w:type="dxa"/>
          </w:tcPr>
          <w:p w:rsidR="00DE74DC" w:rsidRPr="00C54889" w:rsidRDefault="00DE74DC" w:rsidP="009763AA">
            <w:pPr>
              <w:spacing w:before="120"/>
              <w:jc w:val="center"/>
              <w:rPr>
                <w:sz w:val="22"/>
                <w:szCs w:val="22"/>
              </w:rPr>
            </w:pPr>
            <w:r>
              <w:rPr>
                <w:sz w:val="22"/>
                <w:szCs w:val="22"/>
              </w:rPr>
              <w:t>5</w:t>
            </w:r>
          </w:p>
        </w:tc>
      </w:tr>
      <w:tr w:rsidR="001437B5" w:rsidRPr="00C54889" w:rsidTr="000F1E37">
        <w:tc>
          <w:tcPr>
            <w:tcW w:w="8478" w:type="dxa"/>
            <w:shd w:val="pct10" w:color="auto" w:fill="FFFFFF"/>
            <w:vAlign w:val="center"/>
          </w:tcPr>
          <w:p w:rsidR="001437B5" w:rsidRPr="00C54889" w:rsidRDefault="001437B5" w:rsidP="009763AA">
            <w:pPr>
              <w:spacing w:before="120"/>
              <w:jc w:val="both"/>
              <w:rPr>
                <w:sz w:val="22"/>
                <w:szCs w:val="22"/>
              </w:rPr>
            </w:pPr>
            <w:r w:rsidRPr="00C54889">
              <w:rPr>
                <w:sz w:val="22"/>
                <w:szCs w:val="22"/>
              </w:rPr>
              <w:br w:type="page"/>
            </w:r>
            <w:r w:rsidRPr="00C54889">
              <w:rPr>
                <w:b/>
                <w:sz w:val="22"/>
                <w:szCs w:val="22"/>
              </w:rPr>
              <w:t xml:space="preserve">5. Sustainability of the action </w:t>
            </w:r>
          </w:p>
        </w:tc>
        <w:tc>
          <w:tcPr>
            <w:tcW w:w="1269" w:type="dxa"/>
            <w:shd w:val="pct10" w:color="auto" w:fill="FFFFFF"/>
            <w:vAlign w:val="center"/>
          </w:tcPr>
          <w:p w:rsidR="001437B5" w:rsidRPr="00C54889" w:rsidRDefault="001437B5" w:rsidP="009763AA">
            <w:pPr>
              <w:spacing w:before="120"/>
              <w:jc w:val="center"/>
              <w:rPr>
                <w:b/>
                <w:sz w:val="22"/>
                <w:szCs w:val="22"/>
              </w:rPr>
            </w:pPr>
            <w:r w:rsidRPr="00C54889">
              <w:rPr>
                <w:b/>
                <w:sz w:val="22"/>
                <w:szCs w:val="22"/>
              </w:rPr>
              <w:t>15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5.1</w:t>
            </w:r>
            <w:r w:rsidRPr="00C54889">
              <w:rPr>
                <w:sz w:val="22"/>
                <w:szCs w:val="22"/>
              </w:rPr>
              <w:tab/>
              <w:t>Is the action likely to have a tangible impact on its target groups?</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5.2</w:t>
            </w:r>
            <w:r w:rsidRPr="00C54889">
              <w:rPr>
                <w:sz w:val="22"/>
                <w:szCs w:val="22"/>
              </w:rPr>
              <w:tab/>
              <w:t xml:space="preserve">Is the action likely to have multiplier effects, including scope for replication, extension, </w:t>
            </w:r>
            <w:r w:rsidRPr="00C54889">
              <w:rPr>
                <w:sz w:val="22"/>
                <w:szCs w:val="22"/>
              </w:rPr>
              <w:lastRenderedPageBreak/>
              <w:t>capitalisation on experience and knowledge sharing?</w:t>
            </w:r>
          </w:p>
        </w:tc>
        <w:tc>
          <w:tcPr>
            <w:tcW w:w="1269" w:type="dxa"/>
          </w:tcPr>
          <w:p w:rsidR="001437B5" w:rsidRPr="00C54889" w:rsidRDefault="001437B5" w:rsidP="009763AA">
            <w:pPr>
              <w:spacing w:before="120"/>
              <w:jc w:val="center"/>
              <w:rPr>
                <w:sz w:val="22"/>
                <w:szCs w:val="22"/>
              </w:rPr>
            </w:pPr>
            <w:r w:rsidRPr="00C54889">
              <w:rPr>
                <w:sz w:val="22"/>
                <w:szCs w:val="22"/>
              </w:rPr>
              <w:lastRenderedPageBreak/>
              <w:t>5</w:t>
            </w:r>
          </w:p>
        </w:tc>
      </w:tr>
      <w:tr w:rsidR="001437B5" w:rsidRPr="00C54889" w:rsidTr="000F1E37">
        <w:tc>
          <w:tcPr>
            <w:tcW w:w="8478" w:type="dxa"/>
          </w:tcPr>
          <w:p w:rsidR="001437B5" w:rsidRPr="00C54889" w:rsidRDefault="001437B5" w:rsidP="00480E34">
            <w:pPr>
              <w:spacing w:before="120"/>
              <w:ind w:left="510" w:hanging="170"/>
              <w:jc w:val="both"/>
              <w:rPr>
                <w:sz w:val="22"/>
                <w:szCs w:val="22"/>
              </w:rPr>
            </w:pPr>
            <w:r w:rsidRPr="00C54889">
              <w:rPr>
                <w:sz w:val="22"/>
                <w:szCs w:val="22"/>
              </w:rPr>
              <w:t>5.3</w:t>
            </w:r>
            <w:r w:rsidRPr="00C54889">
              <w:rPr>
                <w:sz w:val="22"/>
                <w:szCs w:val="22"/>
              </w:rPr>
              <w:tab/>
            </w:r>
            <w:r w:rsidR="00DE74DC" w:rsidRPr="00DE74DC">
              <w:rPr>
                <w:sz w:val="22"/>
                <w:szCs w:val="22"/>
              </w:rPr>
              <w:t>Are the expected results of the proposed action sustainable? - Financially (e.g. financing of follow-up activities, sources of revenue for covering all future operating and maintenance costs) - Institutionally (will structures allow the results of the action to be sustained at the end of the action? Will there be local ‘ownership’ of the results of the action?) - At policy level (where applicable) (what will be the structural impact of the action — e.g. improved legislation, codes of conduct, methods) - Environmentally (if applicable) (will the action have a negative/positive environmental impact?)</w:t>
            </w:r>
          </w:p>
        </w:tc>
        <w:tc>
          <w:tcPr>
            <w:tcW w:w="1269" w:type="dxa"/>
          </w:tcPr>
          <w:p w:rsidR="001437B5" w:rsidRPr="00C54889" w:rsidRDefault="001437B5" w:rsidP="00480E34">
            <w:pPr>
              <w:spacing w:before="120"/>
              <w:jc w:val="center"/>
              <w:rPr>
                <w:sz w:val="22"/>
                <w:szCs w:val="22"/>
              </w:rPr>
            </w:pPr>
            <w:r w:rsidRPr="00C54889">
              <w:rPr>
                <w:sz w:val="22"/>
                <w:szCs w:val="22"/>
              </w:rPr>
              <w:t>5</w:t>
            </w:r>
          </w:p>
        </w:tc>
      </w:tr>
      <w:tr w:rsidR="001437B5" w:rsidRPr="00C54889" w:rsidTr="000F1E37">
        <w:tc>
          <w:tcPr>
            <w:tcW w:w="8478" w:type="dxa"/>
            <w:shd w:val="pct10" w:color="auto" w:fill="FFFFFF"/>
            <w:vAlign w:val="center"/>
          </w:tcPr>
          <w:p w:rsidR="001437B5" w:rsidRPr="00C54889" w:rsidRDefault="001437B5" w:rsidP="009763AA">
            <w:pPr>
              <w:spacing w:before="120"/>
              <w:jc w:val="both"/>
              <w:rPr>
                <w:sz w:val="22"/>
                <w:szCs w:val="22"/>
              </w:rPr>
            </w:pPr>
            <w:r w:rsidRPr="00C54889">
              <w:rPr>
                <w:sz w:val="22"/>
                <w:szCs w:val="22"/>
              </w:rPr>
              <w:br w:type="page"/>
            </w:r>
            <w:r w:rsidRPr="00C54889">
              <w:rPr>
                <w:b/>
                <w:sz w:val="22"/>
                <w:szCs w:val="22"/>
              </w:rPr>
              <w:t>6. Budget and cost-effectiveness of the action</w:t>
            </w:r>
          </w:p>
        </w:tc>
        <w:tc>
          <w:tcPr>
            <w:tcW w:w="1269" w:type="dxa"/>
            <w:shd w:val="pct10" w:color="auto" w:fill="FFFFFF"/>
            <w:vAlign w:val="center"/>
          </w:tcPr>
          <w:p w:rsidR="001437B5" w:rsidRPr="00C54889" w:rsidRDefault="001437B5" w:rsidP="009763AA">
            <w:pPr>
              <w:spacing w:before="120"/>
              <w:jc w:val="center"/>
              <w:rPr>
                <w:b/>
                <w:sz w:val="22"/>
                <w:szCs w:val="22"/>
              </w:rPr>
            </w:pPr>
            <w:r w:rsidRPr="00C54889">
              <w:rPr>
                <w:b/>
                <w:sz w:val="22"/>
                <w:szCs w:val="22"/>
              </w:rPr>
              <w:t>1</w:t>
            </w:r>
            <w:r w:rsidR="00C47D77">
              <w:rPr>
                <w:b/>
                <w:sz w:val="22"/>
                <w:szCs w:val="22"/>
              </w:rPr>
              <w:t>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6.1</w:t>
            </w:r>
            <w:r w:rsidRPr="00C54889">
              <w:rPr>
                <w:sz w:val="22"/>
                <w:szCs w:val="22"/>
              </w:rPr>
              <w:tab/>
              <w:t>Are the activities appropriately reflected in the budget?</w:t>
            </w:r>
          </w:p>
        </w:tc>
        <w:tc>
          <w:tcPr>
            <w:tcW w:w="1269" w:type="dxa"/>
          </w:tcPr>
          <w:p w:rsidR="001437B5" w:rsidRPr="00C54889" w:rsidRDefault="001437B5" w:rsidP="009763AA">
            <w:pPr>
              <w:spacing w:before="120"/>
              <w:jc w:val="center"/>
              <w:rPr>
                <w:sz w:val="22"/>
                <w:szCs w:val="22"/>
              </w:rPr>
            </w:pPr>
            <w:r w:rsidRPr="00C54889">
              <w:rPr>
                <w:sz w:val="22"/>
                <w:szCs w:val="22"/>
              </w:rPr>
              <w:t>5</w:t>
            </w:r>
          </w:p>
        </w:tc>
      </w:tr>
      <w:tr w:rsidR="001437B5" w:rsidRPr="00C54889" w:rsidTr="000F1E37">
        <w:tc>
          <w:tcPr>
            <w:tcW w:w="8478" w:type="dxa"/>
          </w:tcPr>
          <w:p w:rsidR="001437B5" w:rsidRPr="00C54889" w:rsidRDefault="001437B5" w:rsidP="009763AA">
            <w:pPr>
              <w:spacing w:before="120"/>
              <w:ind w:left="425" w:hanging="425"/>
              <w:jc w:val="both"/>
              <w:rPr>
                <w:sz w:val="22"/>
                <w:szCs w:val="22"/>
              </w:rPr>
            </w:pPr>
            <w:r w:rsidRPr="00C54889">
              <w:rPr>
                <w:sz w:val="22"/>
                <w:szCs w:val="22"/>
              </w:rPr>
              <w:t>6.2</w:t>
            </w:r>
            <w:r w:rsidRPr="00C54889">
              <w:rPr>
                <w:sz w:val="22"/>
                <w:szCs w:val="22"/>
              </w:rPr>
              <w:tab/>
              <w:t>Is the ratio between the estimated costs and the results satisfactory?</w:t>
            </w:r>
          </w:p>
        </w:tc>
        <w:tc>
          <w:tcPr>
            <w:tcW w:w="1269" w:type="dxa"/>
          </w:tcPr>
          <w:p w:rsidR="001437B5" w:rsidRPr="00C54889" w:rsidRDefault="00EF5A3F" w:rsidP="009763AA">
            <w:pPr>
              <w:spacing w:before="120"/>
              <w:jc w:val="center"/>
              <w:rPr>
                <w:sz w:val="22"/>
                <w:szCs w:val="22"/>
              </w:rPr>
            </w:pPr>
            <w:r>
              <w:rPr>
                <w:sz w:val="22"/>
                <w:szCs w:val="22"/>
              </w:rPr>
              <w:t>5</w:t>
            </w:r>
            <w:r w:rsidR="00C47D77">
              <w:rPr>
                <w:sz w:val="22"/>
                <w:szCs w:val="22"/>
              </w:rPr>
              <w:t>*2</w:t>
            </w:r>
          </w:p>
        </w:tc>
      </w:tr>
      <w:tr w:rsidR="001437B5" w:rsidRPr="00C54889" w:rsidTr="000F1E37">
        <w:tc>
          <w:tcPr>
            <w:tcW w:w="8478" w:type="dxa"/>
            <w:shd w:val="pct10" w:color="auto" w:fill="FFFFFF"/>
            <w:vAlign w:val="center"/>
          </w:tcPr>
          <w:p w:rsidR="001437B5" w:rsidRPr="00C54889" w:rsidRDefault="001437B5" w:rsidP="009763AA">
            <w:pPr>
              <w:spacing w:before="120"/>
              <w:jc w:val="both"/>
              <w:rPr>
                <w:b/>
                <w:sz w:val="22"/>
                <w:szCs w:val="22"/>
              </w:rPr>
            </w:pPr>
            <w:r w:rsidRPr="00C54889">
              <w:rPr>
                <w:b/>
                <w:sz w:val="22"/>
                <w:szCs w:val="22"/>
              </w:rPr>
              <w:t>Maximum total score</w:t>
            </w:r>
          </w:p>
        </w:tc>
        <w:tc>
          <w:tcPr>
            <w:tcW w:w="1269" w:type="dxa"/>
            <w:shd w:val="pct10" w:color="auto" w:fill="FFFFFF"/>
            <w:vAlign w:val="center"/>
          </w:tcPr>
          <w:p w:rsidR="001437B5" w:rsidRPr="00C54889" w:rsidRDefault="001437B5" w:rsidP="009763AA">
            <w:pPr>
              <w:spacing w:before="120"/>
              <w:jc w:val="center"/>
              <w:rPr>
                <w:b/>
                <w:sz w:val="22"/>
                <w:szCs w:val="22"/>
              </w:rPr>
            </w:pPr>
            <w:r w:rsidRPr="00C54889">
              <w:rPr>
                <w:b/>
                <w:sz w:val="22"/>
                <w:szCs w:val="22"/>
              </w:rPr>
              <w:t>100</w:t>
            </w:r>
          </w:p>
        </w:tc>
      </w:tr>
    </w:tbl>
    <w:p w:rsidR="001437B5" w:rsidRPr="00C54889" w:rsidRDefault="001437B5" w:rsidP="009763AA">
      <w:pPr>
        <w:rPr>
          <w:sz w:val="22"/>
          <w:szCs w:val="22"/>
        </w:rPr>
      </w:pPr>
    </w:p>
    <w:p w:rsidR="000B5BFC" w:rsidRDefault="00764274" w:rsidP="007C2B43">
      <w:pPr>
        <w:pStyle w:val="Bodytext21"/>
        <w:shd w:val="clear" w:color="auto" w:fill="auto"/>
        <w:spacing w:before="155" w:after="200" w:line="240" w:lineRule="auto"/>
        <w:ind w:firstLine="0"/>
      </w:pPr>
      <w:r>
        <w:t>If the total score for Section 1 (financial and operational capacity) is less than 12 points, the application will be rejected. If the score for at least one of the subsections under Section 1 is 1, the application will also be rejected.</w:t>
      </w:r>
    </w:p>
    <w:p w:rsidR="000B5BFC" w:rsidRDefault="00764274" w:rsidP="007C2B43">
      <w:pPr>
        <w:pStyle w:val="Bodytext110"/>
        <w:shd w:val="clear" w:color="auto" w:fill="auto"/>
        <w:spacing w:before="0" w:after="196" w:line="240" w:lineRule="auto"/>
      </w:pPr>
      <w:r>
        <w:t>Provisional selection</w:t>
      </w:r>
    </w:p>
    <w:p w:rsidR="000B5BFC" w:rsidRDefault="00764274" w:rsidP="007C2B43">
      <w:pPr>
        <w:pStyle w:val="Bodytext21"/>
        <w:shd w:val="clear" w:color="auto" w:fill="auto"/>
        <w:spacing w:before="0" w:after="0" w:line="240" w:lineRule="auto"/>
        <w:ind w:firstLine="0"/>
      </w:pPr>
      <w:r>
        <w:t xml:space="preserve">After the evaluation, a table will be drawn up listing the applications ranked according to their score. The highest scoring applications will be provisionally selected until the available budget </w:t>
      </w:r>
      <w:r w:rsidRPr="007869AD">
        <w:rPr>
          <w:lang w:eastAsia="da-DK" w:bidi="da-DK"/>
        </w:rPr>
        <w:t xml:space="preserve">for </w:t>
      </w:r>
      <w:r>
        <w:t xml:space="preserve">this call </w:t>
      </w:r>
      <w:r w:rsidRPr="007869AD">
        <w:rPr>
          <w:lang w:eastAsia="da-DK" w:bidi="da-DK"/>
        </w:rPr>
        <w:t xml:space="preserve">for </w:t>
      </w:r>
      <w:r>
        <w:t>proposals is reached. In addition, a reserve list will be drawn up following the same criteria. This list will be used if more funds become available during the validity period of the reserve list.</w:t>
      </w:r>
    </w:p>
    <w:p w:rsidR="00A36B8F" w:rsidRDefault="00A36B8F" w:rsidP="007C2B43">
      <w:pPr>
        <w:pStyle w:val="Bodytext21"/>
        <w:shd w:val="clear" w:color="auto" w:fill="auto"/>
        <w:spacing w:before="0" w:after="0" w:line="240" w:lineRule="auto"/>
        <w:ind w:firstLine="0"/>
      </w:pPr>
    </w:p>
    <w:p w:rsidR="00A36B8F" w:rsidRDefault="00A36B8F" w:rsidP="007C2B43">
      <w:pPr>
        <w:pStyle w:val="Bodytext21"/>
        <w:shd w:val="clear" w:color="auto" w:fill="auto"/>
        <w:spacing w:before="0" w:after="0" w:line="240" w:lineRule="auto"/>
        <w:ind w:firstLine="0"/>
      </w:pPr>
    </w:p>
    <w:p w:rsidR="000B5BFC" w:rsidRPr="00250C71" w:rsidRDefault="00764274" w:rsidP="009763AA">
      <w:pPr>
        <w:pStyle w:val="NoSpacing"/>
        <w:numPr>
          <w:ilvl w:val="0"/>
          <w:numId w:val="45"/>
        </w:numPr>
        <w:rPr>
          <w:b/>
          <w:sz w:val="22"/>
          <w:szCs w:val="22"/>
        </w:rPr>
      </w:pPr>
      <w:bookmarkStart w:id="53" w:name="bookmark29"/>
      <w:r w:rsidRPr="00250C71">
        <w:rPr>
          <w:b/>
          <w:sz w:val="22"/>
          <w:szCs w:val="22"/>
        </w:rPr>
        <w:t>STEP 3: VERIFICATION OF ELIGIBILITY OF THE APPLICANTS AND AFFILIATED ENTITY(IES)</w:t>
      </w:r>
      <w:bookmarkEnd w:id="53"/>
    </w:p>
    <w:p w:rsidR="000B5BFC" w:rsidRDefault="00764274" w:rsidP="007C2B43">
      <w:pPr>
        <w:pStyle w:val="Bodytext21"/>
        <w:shd w:val="clear" w:color="auto" w:fill="auto"/>
        <w:spacing w:before="0" w:after="204" w:line="240" w:lineRule="auto"/>
        <w:ind w:firstLine="0"/>
      </w:pPr>
      <w:r>
        <w:t xml:space="preserve">The eligibility verification will be performed on the basis of the supporting documents requested by the contracting authority (see Section 2.4). It will by default </w:t>
      </w:r>
      <w:r>
        <w:rPr>
          <w:rStyle w:val="Bodytext26"/>
        </w:rPr>
        <w:t>only</w:t>
      </w:r>
      <w:r>
        <w:t xml:space="preserve"> be performed for the applications that have been provisionally selected according to their score and within the available budget </w:t>
      </w:r>
      <w:r w:rsidRPr="007869AD">
        <w:rPr>
          <w:lang w:eastAsia="da-DK" w:bidi="da-DK"/>
        </w:rPr>
        <w:t xml:space="preserve">for this </w:t>
      </w:r>
      <w:r>
        <w:t xml:space="preserve">call </w:t>
      </w:r>
      <w:r w:rsidRPr="007869AD">
        <w:rPr>
          <w:lang w:eastAsia="da-DK" w:bidi="da-DK"/>
        </w:rPr>
        <w:t xml:space="preserve">for </w:t>
      </w:r>
      <w:r>
        <w:t>proposals.</w:t>
      </w:r>
    </w:p>
    <w:p w:rsidR="000B5BFC" w:rsidRDefault="00764274" w:rsidP="007C2B43">
      <w:pPr>
        <w:pStyle w:val="Bodytext21"/>
        <w:numPr>
          <w:ilvl w:val="0"/>
          <w:numId w:val="3"/>
        </w:numPr>
        <w:shd w:val="clear" w:color="auto" w:fill="auto"/>
        <w:tabs>
          <w:tab w:val="left" w:pos="755"/>
        </w:tabs>
        <w:spacing w:before="0" w:after="196" w:line="240" w:lineRule="auto"/>
        <w:ind w:left="760" w:hanging="360"/>
      </w:pPr>
      <w:r>
        <w:t>The declaration by the lead applicant (Section 8 of Part B of the grant application form) will be cross-checked with the supporting documents provided by the lead applicant. Any missing supporting document or any incoherence between the declaration by the lead applicant and the supporting documents may lead to the rejection of the application on that sole basis.</w:t>
      </w:r>
    </w:p>
    <w:p w:rsidR="000B5BFC" w:rsidRDefault="00764274" w:rsidP="007C2B43">
      <w:pPr>
        <w:pStyle w:val="Bodytext21"/>
        <w:numPr>
          <w:ilvl w:val="0"/>
          <w:numId w:val="3"/>
        </w:numPr>
        <w:shd w:val="clear" w:color="auto" w:fill="auto"/>
        <w:tabs>
          <w:tab w:val="left" w:pos="755"/>
        </w:tabs>
        <w:spacing w:before="0" w:after="200" w:line="240" w:lineRule="auto"/>
        <w:ind w:left="760" w:hanging="360"/>
      </w:pPr>
      <w:r>
        <w:t>The eligibility of applicants and the affiliated entity(</w:t>
      </w:r>
      <w:proofErr w:type="spellStart"/>
      <w:r>
        <w:t>ies</w:t>
      </w:r>
      <w:proofErr w:type="spellEnd"/>
      <w:r>
        <w:t>) will be verified according to the criteria set out in Sections 2.1.1, 2.1.2 and 2.1.3.</w:t>
      </w:r>
    </w:p>
    <w:p w:rsidR="000B5BFC" w:rsidRDefault="00764274" w:rsidP="007C2B43">
      <w:pPr>
        <w:pStyle w:val="Bodytext21"/>
        <w:shd w:val="clear" w:color="auto" w:fill="auto"/>
        <w:spacing w:before="0" w:after="0" w:line="240" w:lineRule="auto"/>
        <w:ind w:firstLine="0"/>
      </w:pPr>
      <w:r>
        <w:t xml:space="preserve">Any rejected application will be replaced by the next best placed application on the </w:t>
      </w:r>
      <w:r w:rsidRPr="007869AD">
        <w:rPr>
          <w:lang w:eastAsia="da-DK" w:bidi="da-DK"/>
        </w:rPr>
        <w:t xml:space="preserve">reserve </w:t>
      </w:r>
      <w:r>
        <w:t>list that falls within the available budget for this call for proposals.</w:t>
      </w:r>
    </w:p>
    <w:p w:rsidR="0042023D" w:rsidRDefault="0042023D" w:rsidP="007C2B43">
      <w:pPr>
        <w:pStyle w:val="Bodytext21"/>
        <w:shd w:val="clear" w:color="auto" w:fill="auto"/>
        <w:spacing w:before="0" w:after="0" w:line="240" w:lineRule="auto"/>
        <w:ind w:firstLine="0"/>
      </w:pPr>
    </w:p>
    <w:p w:rsidR="000B5BFC" w:rsidRPr="00250C71" w:rsidRDefault="00250C71" w:rsidP="009763AA">
      <w:pPr>
        <w:pStyle w:val="Heading2"/>
        <w:jc w:val="both"/>
        <w:rPr>
          <w:rFonts w:ascii="Times New Roman" w:hAnsi="Times New Roman" w:cs="Times New Roman"/>
          <w:color w:val="auto"/>
        </w:rPr>
      </w:pPr>
      <w:bookmarkStart w:id="54" w:name="bookmark30"/>
      <w:bookmarkStart w:id="55" w:name="_Toc5010065"/>
      <w:r>
        <w:rPr>
          <w:rStyle w:val="Bodytext711pt"/>
          <w:rFonts w:ascii="Times New Roman" w:hAnsi="Times New Roman" w:cs="Times New Roman"/>
          <w:b/>
          <w:bCs/>
          <w:color w:val="auto"/>
          <w:sz w:val="24"/>
          <w:szCs w:val="24"/>
        </w:rPr>
        <w:t xml:space="preserve">2.4. </w:t>
      </w:r>
      <w:r w:rsidR="00764274" w:rsidRPr="00250C71">
        <w:rPr>
          <w:rStyle w:val="Bodytext711pt"/>
          <w:rFonts w:ascii="Times New Roman" w:hAnsi="Times New Roman" w:cs="Times New Roman"/>
          <w:b/>
          <w:bCs/>
          <w:color w:val="auto"/>
          <w:sz w:val="24"/>
          <w:szCs w:val="24"/>
        </w:rPr>
        <w:t>S</w:t>
      </w:r>
      <w:r w:rsidR="00764274" w:rsidRPr="00250C71">
        <w:rPr>
          <w:rStyle w:val="Bodytext7SmallCaps"/>
          <w:rFonts w:ascii="Times New Roman" w:hAnsi="Times New Roman" w:cs="Times New Roman"/>
          <w:b/>
          <w:bCs/>
          <w:color w:val="auto"/>
          <w:sz w:val="24"/>
          <w:szCs w:val="24"/>
        </w:rPr>
        <w:t>ubmission of supporting documents for provisionally selected applications</w:t>
      </w:r>
      <w:bookmarkEnd w:id="54"/>
      <w:bookmarkEnd w:id="55"/>
    </w:p>
    <w:p w:rsidR="00AD4B79" w:rsidRDefault="00AD4B79"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A lead applicant whose application has been provisionally selected or placed on the reserve list will be informed in writing by the contracting authority. It will be requested to supply the following documents in order to allow the contracting authority to verify the eligibility of the lead applicant, (if any) of the co</w:t>
      </w:r>
      <w:r w:rsidR="00C54889">
        <w:t>-</w:t>
      </w:r>
      <w:r>
        <w:softHyphen/>
        <w:t>applicants</w:t>
      </w:r>
      <w:r w:rsidR="00FA32C2">
        <w:t>,</w:t>
      </w:r>
      <w:r>
        <w:t xml:space="preserve"> and (if any) of their affiliated entity(</w:t>
      </w:r>
      <w:proofErr w:type="spellStart"/>
      <w:r>
        <w:t>ies</w:t>
      </w:r>
      <w:proofErr w:type="spellEnd"/>
      <w:r>
        <w:t>)</w:t>
      </w:r>
      <w:r w:rsidR="00FA32C2">
        <w:t>.</w:t>
      </w:r>
      <w:r>
        <w:rPr>
          <w:vertAlign w:val="superscript"/>
        </w:rPr>
        <w:footnoteReference w:id="20"/>
      </w:r>
    </w:p>
    <w:p w:rsidR="00FA32C2" w:rsidRDefault="00FA32C2" w:rsidP="009763AA">
      <w:pPr>
        <w:rPr>
          <w:sz w:val="22"/>
          <w:szCs w:val="22"/>
        </w:rPr>
      </w:pPr>
      <w:r>
        <w:br w:type="page"/>
      </w:r>
    </w:p>
    <w:p w:rsidR="000B5BFC" w:rsidRDefault="00764274" w:rsidP="007C2B43">
      <w:pPr>
        <w:pStyle w:val="Bodytext21"/>
        <w:shd w:val="clear" w:color="auto" w:fill="auto"/>
        <w:spacing w:before="0" w:after="312" w:line="240" w:lineRule="auto"/>
        <w:ind w:firstLine="0"/>
      </w:pPr>
      <w:r>
        <w:lastRenderedPageBreak/>
        <w:t>Supporting documents must be provided through PADOR (see section 2.2).</w:t>
      </w:r>
    </w:p>
    <w:p w:rsidR="000B5BFC" w:rsidRDefault="00E724AC" w:rsidP="009763AA">
      <w:pPr>
        <w:ind w:left="720"/>
        <w:jc w:val="both"/>
        <w:rPr>
          <w:sz w:val="22"/>
          <w:szCs w:val="22"/>
        </w:rPr>
      </w:pPr>
      <w:r>
        <w:rPr>
          <w:sz w:val="22"/>
          <w:szCs w:val="22"/>
        </w:rPr>
        <w:t xml:space="preserve">1. </w:t>
      </w:r>
      <w:r w:rsidR="00764274" w:rsidRPr="00E724AC">
        <w:rPr>
          <w:sz w:val="22"/>
          <w:szCs w:val="22"/>
        </w:rPr>
        <w:t>The statutes or articles of association of the lead applicant, (if any) of each co-applicant and (if any) of each affiliated entity</w:t>
      </w:r>
      <w:r w:rsidR="00764274" w:rsidRPr="00A36B8F">
        <w:rPr>
          <w:sz w:val="22"/>
          <w:szCs w:val="22"/>
          <w:vertAlign w:val="superscript"/>
        </w:rPr>
        <w:footnoteReference w:id="21"/>
      </w:r>
      <w:r w:rsidR="00764274" w:rsidRPr="00E724AC">
        <w:rPr>
          <w:sz w:val="22"/>
          <w:szCs w:val="22"/>
        </w:rPr>
        <w:t>. Where the contracting authority has recognised the lead applicant’s, or the co- applicant(s)’s, or their affiliated entity(</w:t>
      </w:r>
      <w:proofErr w:type="spellStart"/>
      <w:r w:rsidR="00764274" w:rsidRPr="00E724AC">
        <w:rPr>
          <w:sz w:val="22"/>
          <w:szCs w:val="22"/>
        </w:rPr>
        <w:t>ies</w:t>
      </w:r>
      <w:proofErr w:type="spellEnd"/>
      <w:r w:rsidR="00764274" w:rsidRPr="00E724AC">
        <w:rPr>
          <w:sz w:val="22"/>
          <w:szCs w:val="22"/>
        </w:rPr>
        <w:t>)’s eligibility for another call for proposals under the same budget line within 2 years before the deadline for receipt of applications, it should be submitted, instead of the statutes or articles of association, a copy of the document proving their eligibility in a former call (e.g. a copy of the special conditions of a grant contract received during the reference period), unless a change in legal status has occurred in the meantime</w:t>
      </w:r>
      <w:r w:rsidR="00FA32C2">
        <w:rPr>
          <w:sz w:val="22"/>
          <w:szCs w:val="22"/>
        </w:rPr>
        <w:t>.</w:t>
      </w:r>
      <w:r w:rsidR="00764274" w:rsidRPr="00FA32C2">
        <w:rPr>
          <w:sz w:val="22"/>
          <w:szCs w:val="22"/>
          <w:vertAlign w:val="superscript"/>
        </w:rPr>
        <w:footnoteReference w:id="22"/>
      </w:r>
      <w:r w:rsidR="00764274" w:rsidRPr="00E724AC">
        <w:rPr>
          <w:sz w:val="22"/>
          <w:szCs w:val="22"/>
        </w:rPr>
        <w:t xml:space="preserve"> This obligation does not apply to international organisations which have signed a framework agreement with the European Commission.</w:t>
      </w:r>
    </w:p>
    <w:p w:rsidR="00323DD7" w:rsidRPr="00E724AC" w:rsidRDefault="00323DD7" w:rsidP="009763AA">
      <w:pPr>
        <w:ind w:left="720"/>
        <w:jc w:val="both"/>
        <w:rPr>
          <w:sz w:val="22"/>
          <w:szCs w:val="22"/>
        </w:rPr>
      </w:pPr>
    </w:p>
    <w:p w:rsidR="000B5BFC" w:rsidRDefault="00E724AC" w:rsidP="009763AA">
      <w:pPr>
        <w:ind w:left="720"/>
        <w:jc w:val="both"/>
        <w:rPr>
          <w:sz w:val="22"/>
          <w:szCs w:val="22"/>
        </w:rPr>
      </w:pPr>
      <w:r>
        <w:rPr>
          <w:sz w:val="22"/>
          <w:szCs w:val="22"/>
        </w:rPr>
        <w:t xml:space="preserve">2. </w:t>
      </w:r>
      <w:r w:rsidR="00764274" w:rsidRPr="00E724AC">
        <w:rPr>
          <w:sz w:val="22"/>
          <w:szCs w:val="22"/>
        </w:rPr>
        <w:t>For action grants exceeding EUR 750 000 and for operating grants above EUR 100 000, the lead applicant must provide an audit report produced by an approved external auditor where it is available, and always in cases where a statutory audit is required by EU or national law. That report shall certify the accounts for up to the last 3 financial years available. In all other cases, the applicant shall provide a self-declaration signed by its authorised representative certifying the validity of its accounts for up to the last 3 financial years available.</w:t>
      </w:r>
    </w:p>
    <w:p w:rsidR="00FA32C2" w:rsidRPr="00E724AC" w:rsidRDefault="00FA32C2" w:rsidP="001A23A8">
      <w:pPr>
        <w:ind w:left="720"/>
        <w:jc w:val="both"/>
        <w:rPr>
          <w:sz w:val="22"/>
          <w:szCs w:val="22"/>
        </w:rPr>
      </w:pPr>
    </w:p>
    <w:p w:rsidR="000B5BFC" w:rsidRPr="00E724AC" w:rsidRDefault="00764274" w:rsidP="00480E34">
      <w:pPr>
        <w:ind w:left="720"/>
        <w:jc w:val="both"/>
        <w:rPr>
          <w:sz w:val="22"/>
          <w:szCs w:val="22"/>
        </w:rPr>
      </w:pPr>
      <w:r w:rsidRPr="00E724AC">
        <w:rPr>
          <w:sz w:val="22"/>
          <w:szCs w:val="22"/>
        </w:rPr>
        <w:t>This requirement shall apply only to the first application made by a beneficiary to an authorising officer responsible in any one financial year.</w:t>
      </w:r>
    </w:p>
    <w:p w:rsidR="00E724AC" w:rsidRDefault="00E724AC" w:rsidP="00480E34">
      <w:pPr>
        <w:jc w:val="both"/>
        <w:rPr>
          <w:sz w:val="22"/>
          <w:szCs w:val="22"/>
        </w:rPr>
      </w:pPr>
    </w:p>
    <w:p w:rsidR="000B5BFC" w:rsidRPr="00E724AC" w:rsidRDefault="00E724AC">
      <w:pPr>
        <w:ind w:firstLine="720"/>
        <w:jc w:val="both"/>
        <w:rPr>
          <w:sz w:val="22"/>
          <w:szCs w:val="22"/>
        </w:rPr>
      </w:pPr>
      <w:r>
        <w:rPr>
          <w:sz w:val="22"/>
          <w:szCs w:val="22"/>
        </w:rPr>
        <w:t xml:space="preserve">3. </w:t>
      </w:r>
      <w:r w:rsidR="00764274" w:rsidRPr="00E724AC">
        <w:rPr>
          <w:sz w:val="22"/>
          <w:szCs w:val="22"/>
        </w:rPr>
        <w:t>The external audit report is not required from (if any) the co-applicant(s)) or affiliated entities.</w:t>
      </w:r>
    </w:p>
    <w:p w:rsidR="000B5BFC" w:rsidRDefault="00764274">
      <w:pPr>
        <w:ind w:left="720"/>
        <w:jc w:val="both"/>
        <w:rPr>
          <w:sz w:val="22"/>
          <w:szCs w:val="22"/>
        </w:rPr>
      </w:pPr>
      <w:r w:rsidRPr="00E724AC">
        <w:rPr>
          <w:sz w:val="22"/>
          <w:szCs w:val="22"/>
        </w:rPr>
        <w:t>This obligation does not apply to public bodies and international organisations provided that the international organisation in question offers the guarantees provided for in the applicable Financial Regulation, as described in Chapter 6 of the practical guide.</w:t>
      </w:r>
    </w:p>
    <w:p w:rsidR="00FA32C2" w:rsidRPr="00E724AC" w:rsidRDefault="00FA32C2">
      <w:pPr>
        <w:ind w:left="720"/>
        <w:jc w:val="both"/>
        <w:rPr>
          <w:sz w:val="22"/>
          <w:szCs w:val="22"/>
        </w:rPr>
      </w:pPr>
    </w:p>
    <w:p w:rsidR="000B5BFC" w:rsidRPr="00E724AC" w:rsidRDefault="00764274">
      <w:pPr>
        <w:ind w:firstLine="720"/>
        <w:jc w:val="both"/>
        <w:rPr>
          <w:sz w:val="22"/>
          <w:szCs w:val="22"/>
        </w:rPr>
      </w:pPr>
      <w:r w:rsidRPr="00E724AC">
        <w:rPr>
          <w:sz w:val="22"/>
          <w:szCs w:val="22"/>
        </w:rPr>
        <w:t>This obligation does not apply to secondary and higher education establishments.</w:t>
      </w:r>
    </w:p>
    <w:p w:rsidR="00E724AC" w:rsidRDefault="00E724AC">
      <w:pPr>
        <w:jc w:val="both"/>
        <w:rPr>
          <w:sz w:val="22"/>
          <w:szCs w:val="22"/>
        </w:rPr>
      </w:pPr>
    </w:p>
    <w:p w:rsidR="00FA32C2" w:rsidRDefault="00E724AC">
      <w:pPr>
        <w:ind w:left="720"/>
        <w:jc w:val="both"/>
        <w:rPr>
          <w:sz w:val="22"/>
          <w:szCs w:val="22"/>
        </w:rPr>
      </w:pPr>
      <w:r>
        <w:rPr>
          <w:sz w:val="22"/>
          <w:szCs w:val="22"/>
        </w:rPr>
        <w:t xml:space="preserve">4. </w:t>
      </w:r>
      <w:r w:rsidR="00764274" w:rsidRPr="00E724AC">
        <w:rPr>
          <w:sz w:val="22"/>
          <w:szCs w:val="22"/>
        </w:rPr>
        <w:t>A copy of the lead applicant’s latest accounts (the profit and loss account and the balance sheet for the last financial year for which the accounts have been closed)</w:t>
      </w:r>
      <w:r w:rsidR="00764274" w:rsidRPr="00FA32C2">
        <w:rPr>
          <w:sz w:val="22"/>
          <w:szCs w:val="22"/>
          <w:vertAlign w:val="superscript"/>
        </w:rPr>
        <w:footnoteReference w:id="23"/>
      </w:r>
      <w:r w:rsidR="00764274" w:rsidRPr="00E724AC">
        <w:rPr>
          <w:sz w:val="22"/>
          <w:szCs w:val="22"/>
        </w:rPr>
        <w:t xml:space="preserve">. </w:t>
      </w:r>
    </w:p>
    <w:p w:rsidR="00FA32C2" w:rsidRDefault="00FA32C2">
      <w:pPr>
        <w:ind w:left="720"/>
        <w:jc w:val="both"/>
        <w:rPr>
          <w:sz w:val="22"/>
          <w:szCs w:val="22"/>
        </w:rPr>
      </w:pPr>
    </w:p>
    <w:p w:rsidR="000B5BFC" w:rsidRPr="00E724AC" w:rsidRDefault="00764274">
      <w:pPr>
        <w:ind w:left="720"/>
        <w:jc w:val="both"/>
        <w:rPr>
          <w:sz w:val="22"/>
          <w:szCs w:val="22"/>
        </w:rPr>
      </w:pPr>
      <w:r w:rsidRPr="00E724AC">
        <w:rPr>
          <w:sz w:val="22"/>
          <w:szCs w:val="22"/>
        </w:rPr>
        <w:t>A copy of the latest account is neither required from (if any) the co-applicant(s) nor from (if any) affiliated entity(</w:t>
      </w:r>
      <w:proofErr w:type="spellStart"/>
      <w:r w:rsidRPr="00E724AC">
        <w:rPr>
          <w:sz w:val="22"/>
          <w:szCs w:val="22"/>
        </w:rPr>
        <w:t>ies</w:t>
      </w:r>
      <w:proofErr w:type="spellEnd"/>
      <w:r w:rsidRPr="00E724AC">
        <w:rPr>
          <w:sz w:val="22"/>
          <w:szCs w:val="22"/>
        </w:rPr>
        <w:t>).</w:t>
      </w:r>
    </w:p>
    <w:p w:rsidR="00E724AC" w:rsidRDefault="00E724AC">
      <w:pPr>
        <w:jc w:val="both"/>
        <w:rPr>
          <w:sz w:val="22"/>
          <w:szCs w:val="22"/>
        </w:rPr>
      </w:pPr>
    </w:p>
    <w:p w:rsidR="000B5BFC" w:rsidRPr="00E724AC" w:rsidRDefault="00E724AC">
      <w:pPr>
        <w:ind w:left="720"/>
        <w:jc w:val="both"/>
        <w:rPr>
          <w:sz w:val="22"/>
          <w:szCs w:val="22"/>
        </w:rPr>
      </w:pPr>
      <w:r>
        <w:rPr>
          <w:sz w:val="22"/>
          <w:szCs w:val="22"/>
        </w:rPr>
        <w:t xml:space="preserve">5. </w:t>
      </w:r>
      <w:r w:rsidR="00764274" w:rsidRPr="00E724AC">
        <w:rPr>
          <w:sz w:val="22"/>
          <w:szCs w:val="22"/>
        </w:rPr>
        <w:t>Legal entity sheet (see Annex D of these guidelines) duly completed and signed by each of the applicants (i.e. by the lead applicant and (if any) by each co-applicant), accompanied by the justifying documents requested there. If the applicants have already signed a contract with the contracting</w:t>
      </w:r>
      <w:r w:rsidR="002A7A1A">
        <w:rPr>
          <w:sz w:val="22"/>
          <w:szCs w:val="22"/>
        </w:rPr>
        <w:t xml:space="preserve"> </w:t>
      </w:r>
      <w:r w:rsidR="00764274" w:rsidRPr="00E724AC">
        <w:rPr>
          <w:sz w:val="22"/>
          <w:szCs w:val="22"/>
        </w:rPr>
        <w:t>authority, instead of the legal entity sheet and supporting documents, the legal entity number may be provided, unless a change in legal status occurred in the meantime.</w:t>
      </w:r>
    </w:p>
    <w:p w:rsidR="00C54889" w:rsidRPr="00E724AC" w:rsidRDefault="00C54889">
      <w:pPr>
        <w:jc w:val="both"/>
        <w:rPr>
          <w:sz w:val="22"/>
          <w:szCs w:val="22"/>
        </w:rPr>
      </w:pPr>
    </w:p>
    <w:p w:rsidR="000B5BFC" w:rsidRPr="00E724AC" w:rsidRDefault="00C54889">
      <w:pPr>
        <w:ind w:left="720"/>
        <w:jc w:val="both"/>
        <w:rPr>
          <w:sz w:val="22"/>
          <w:szCs w:val="22"/>
        </w:rPr>
      </w:pPr>
      <w:r w:rsidRPr="00E724AC">
        <w:rPr>
          <w:sz w:val="22"/>
          <w:szCs w:val="22"/>
        </w:rPr>
        <w:t xml:space="preserve">6. </w:t>
      </w:r>
      <w:r w:rsidR="00764274" w:rsidRPr="00E724AC">
        <w:rPr>
          <w:sz w:val="22"/>
          <w:szCs w:val="22"/>
        </w:rPr>
        <w:t>A financial identification form of the lead applicant (not from co-applicant(s)) conforming to the model attached as Annex E of these guidelines, certified by the bank to which the payments will be made. This bank should be located in the country where the lead applicant is established. If the lead applicant has already submitted a financial identification form in the past for a contract where the European Commission was in charge of the payments and intends to use the same bank account, a copy of the previous financial identification form may be provided instead.</w:t>
      </w:r>
    </w:p>
    <w:p w:rsidR="00E724AC" w:rsidRDefault="00E724AC">
      <w:pPr>
        <w:jc w:val="both"/>
        <w:rPr>
          <w:sz w:val="22"/>
          <w:szCs w:val="22"/>
        </w:rPr>
      </w:pPr>
    </w:p>
    <w:p w:rsidR="000B5BFC" w:rsidRDefault="00764274">
      <w:pPr>
        <w:jc w:val="both"/>
        <w:rPr>
          <w:sz w:val="22"/>
          <w:szCs w:val="22"/>
        </w:rPr>
      </w:pPr>
      <w:r w:rsidRPr="00E724AC">
        <w:rPr>
          <w:sz w:val="22"/>
          <w:szCs w:val="22"/>
        </w:rPr>
        <w:lastRenderedPageBreak/>
        <w:t>The requested supporting documents (uploaded in PADOR or sent together with the PADOR offline form) must be supplied in the form of originals, photocopies or scanned versions (i.e. showing legible stamps, signatures and dates) of the said originals.</w:t>
      </w:r>
    </w:p>
    <w:p w:rsidR="00E724AC" w:rsidRPr="00E724AC" w:rsidRDefault="00E724AC">
      <w:pPr>
        <w:jc w:val="both"/>
        <w:rPr>
          <w:sz w:val="22"/>
          <w:szCs w:val="22"/>
        </w:rPr>
      </w:pPr>
    </w:p>
    <w:p w:rsidR="000B5BFC" w:rsidRDefault="00764274">
      <w:pPr>
        <w:jc w:val="both"/>
        <w:rPr>
          <w:sz w:val="22"/>
          <w:szCs w:val="22"/>
        </w:rPr>
      </w:pPr>
      <w:r w:rsidRPr="00E724AC">
        <w:rPr>
          <w:sz w:val="22"/>
          <w:szCs w:val="22"/>
        </w:rPr>
        <w:t xml:space="preserve">Where such documents are not in one of the official languages of the European Union or </w:t>
      </w:r>
      <w:r w:rsidR="00E724AC">
        <w:rPr>
          <w:sz w:val="22"/>
          <w:szCs w:val="22"/>
        </w:rPr>
        <w:t>Amharic</w:t>
      </w:r>
      <w:r w:rsidRPr="00E724AC">
        <w:rPr>
          <w:sz w:val="22"/>
          <w:szCs w:val="22"/>
        </w:rPr>
        <w:t xml:space="preserve">, a translation into </w:t>
      </w:r>
      <w:r w:rsidR="00E724AC">
        <w:rPr>
          <w:sz w:val="22"/>
          <w:szCs w:val="22"/>
        </w:rPr>
        <w:t xml:space="preserve">English </w:t>
      </w:r>
      <w:r w:rsidRPr="00E724AC">
        <w:rPr>
          <w:sz w:val="22"/>
          <w:szCs w:val="22"/>
        </w:rPr>
        <w:t>of the relevant parts of these documents proving the lead applicant's and, where applicable, co</w:t>
      </w:r>
      <w:r w:rsidR="00E50AF2">
        <w:rPr>
          <w:sz w:val="22"/>
          <w:szCs w:val="22"/>
        </w:rPr>
        <w:t>-</w:t>
      </w:r>
      <w:r w:rsidRPr="00E724AC">
        <w:rPr>
          <w:sz w:val="22"/>
          <w:szCs w:val="22"/>
        </w:rPr>
        <w:softHyphen/>
        <w:t>applicants' and affiliated entity(</w:t>
      </w:r>
      <w:proofErr w:type="spellStart"/>
      <w:r w:rsidRPr="00E724AC">
        <w:rPr>
          <w:sz w:val="22"/>
          <w:szCs w:val="22"/>
        </w:rPr>
        <w:t>ies</w:t>
      </w:r>
      <w:proofErr w:type="spellEnd"/>
      <w:r w:rsidRPr="00E724AC">
        <w:rPr>
          <w:sz w:val="22"/>
          <w:szCs w:val="22"/>
        </w:rPr>
        <w:t>)' eligibility, must be attached for the purpose of analysing the application.</w:t>
      </w:r>
    </w:p>
    <w:p w:rsidR="00E724AC" w:rsidRPr="00E724AC" w:rsidRDefault="00E724AC">
      <w:pPr>
        <w:jc w:val="both"/>
        <w:rPr>
          <w:sz w:val="22"/>
          <w:szCs w:val="22"/>
        </w:rPr>
      </w:pPr>
    </w:p>
    <w:p w:rsidR="000B5BFC" w:rsidRDefault="00764274" w:rsidP="007C2B43">
      <w:pPr>
        <w:pStyle w:val="Bodytext21"/>
        <w:shd w:val="clear" w:color="auto" w:fill="auto"/>
        <w:spacing w:before="0" w:after="200" w:line="240" w:lineRule="auto"/>
        <w:ind w:firstLine="0"/>
      </w:pPr>
      <w:r>
        <w:t xml:space="preserve">Where these documents are in an official language of the European Union other than </w:t>
      </w:r>
      <w:r w:rsidR="00E724AC">
        <w:t>English</w:t>
      </w:r>
      <w:r>
        <w:t xml:space="preserve">, it is </w:t>
      </w:r>
      <w:r>
        <w:rPr>
          <w:rStyle w:val="Bodytext2Bold2"/>
        </w:rPr>
        <w:t xml:space="preserve">strongly </w:t>
      </w:r>
      <w:r>
        <w:t xml:space="preserve">recommended, in order to facilitate the evaluation, to provide a </w:t>
      </w:r>
      <w:r w:rsidRPr="007869AD">
        <w:rPr>
          <w:lang w:eastAsia="da-DK" w:bidi="da-DK"/>
        </w:rPr>
        <w:t xml:space="preserve">translation </w:t>
      </w:r>
      <w:r>
        <w:t>of the relevant parts of the documents, proving the lead applicant's and, where applicable, co-applicants' and affiliated entity(</w:t>
      </w:r>
      <w:proofErr w:type="spellStart"/>
      <w:r>
        <w:t>ies</w:t>
      </w:r>
      <w:proofErr w:type="spellEnd"/>
      <w:r>
        <w:t xml:space="preserve">)' eligibility, into </w:t>
      </w:r>
      <w:r w:rsidR="00F07EDA">
        <w:t>English</w:t>
      </w:r>
      <w:r>
        <w:t>.</w:t>
      </w:r>
    </w:p>
    <w:p w:rsidR="000B5BFC" w:rsidRDefault="00764274" w:rsidP="007C2B43">
      <w:pPr>
        <w:pStyle w:val="Bodytext21"/>
        <w:shd w:val="clear" w:color="auto" w:fill="auto"/>
        <w:spacing w:before="0" w:after="200" w:line="240" w:lineRule="auto"/>
        <w:ind w:firstLine="0"/>
      </w:pPr>
      <w:r>
        <w:t xml:space="preserve">Applicants have to take into consideration the time necessary to obtain </w:t>
      </w:r>
      <w:r w:rsidRPr="007869AD">
        <w:rPr>
          <w:lang w:eastAsia="da-DK" w:bidi="da-DK"/>
        </w:rPr>
        <w:t xml:space="preserve">official </w:t>
      </w:r>
      <w:r>
        <w:t>documents from national competent authorities and to translate such documents in the authorised languages while registering their data in PADOR.</w:t>
      </w:r>
    </w:p>
    <w:p w:rsidR="000B5BFC" w:rsidRDefault="00764274" w:rsidP="007C2B43">
      <w:pPr>
        <w:pStyle w:val="Bodytext21"/>
        <w:shd w:val="clear" w:color="auto" w:fill="auto"/>
        <w:spacing w:before="0" w:after="200" w:line="240" w:lineRule="auto"/>
        <w:ind w:firstLine="0"/>
      </w:pPr>
      <w:r>
        <w:t>If the above</w:t>
      </w:r>
      <w:r w:rsidR="00F07EDA">
        <w:t>-</w:t>
      </w:r>
      <w:r>
        <w:t>mentioned supporting documents are not provided before the deadline indicated in the request for supporting documents sent to the lead applicant by the contracting authority, the application may be rejected.</w:t>
      </w:r>
    </w:p>
    <w:p w:rsidR="000B5BFC" w:rsidRDefault="00764274" w:rsidP="007C2B43">
      <w:pPr>
        <w:pStyle w:val="Bodytext21"/>
        <w:shd w:val="clear" w:color="auto" w:fill="auto"/>
        <w:spacing w:before="0" w:after="204" w:line="240" w:lineRule="auto"/>
        <w:ind w:firstLine="0"/>
      </w:pPr>
      <w:r>
        <w:t>After verifying the supporting documents, the evaluation committee will make a final recommendation to the contracting authority, which will decide on the award of grants.</w:t>
      </w:r>
    </w:p>
    <w:p w:rsidR="000B5BFC" w:rsidRDefault="00F07EDA" w:rsidP="007C2B43">
      <w:pPr>
        <w:pStyle w:val="Bodytext21"/>
        <w:shd w:val="clear" w:color="auto" w:fill="auto"/>
        <w:spacing w:before="0" w:after="0" w:line="240" w:lineRule="auto"/>
        <w:ind w:left="600" w:hanging="600"/>
      </w:pPr>
      <w:r>
        <w:t>NB:</w:t>
      </w:r>
      <w:r>
        <w:tab/>
      </w:r>
      <w:r w:rsidR="00764274">
        <w:t xml:space="preserve">In the eventuality that the contracting authority is not satisfied with the strength, solidity, and guarantee </w:t>
      </w:r>
      <w:r w:rsidR="00764274" w:rsidRPr="007869AD">
        <w:rPr>
          <w:lang w:eastAsia="da-DK" w:bidi="da-DK"/>
        </w:rPr>
        <w:t xml:space="preserve">offered </w:t>
      </w:r>
      <w:r w:rsidR="00764274">
        <w:t xml:space="preserve">by the structural link between one of the applicants and its affiliated entity, it can require the submission of the missing documents allowing for its conversion into co-applicant. If all the missing documents </w:t>
      </w:r>
      <w:r w:rsidR="00764274" w:rsidRPr="007869AD">
        <w:rPr>
          <w:lang w:eastAsia="da-DK" w:bidi="da-DK"/>
        </w:rPr>
        <w:t xml:space="preserve">for </w:t>
      </w:r>
      <w:r w:rsidR="00764274">
        <w:t>co-applicants are submitted, and provided all necessary eligibility criteria are fulfilled, the above</w:t>
      </w:r>
      <w:r>
        <w:t>-</w:t>
      </w:r>
      <w:r w:rsidR="00764274">
        <w:t xml:space="preserve">mentioned entity becomes a co-applicant </w:t>
      </w:r>
      <w:r w:rsidR="00764274" w:rsidRPr="007869AD">
        <w:rPr>
          <w:lang w:eastAsia="da-DK" w:bidi="da-DK"/>
        </w:rPr>
        <w:t xml:space="preserve">for all </w:t>
      </w:r>
      <w:r w:rsidR="00764274">
        <w:t xml:space="preserve">purposes. The lead applicant has to submit the application </w:t>
      </w:r>
      <w:r w:rsidR="00764274" w:rsidRPr="007869AD">
        <w:rPr>
          <w:lang w:eastAsia="da-DK" w:bidi="da-DK"/>
        </w:rPr>
        <w:t xml:space="preserve">form </w:t>
      </w:r>
      <w:r w:rsidR="00764274">
        <w:t>revised accordingly.</w:t>
      </w:r>
    </w:p>
    <w:p w:rsidR="00E50AF2" w:rsidRDefault="00E50AF2" w:rsidP="007C2B43">
      <w:pPr>
        <w:pStyle w:val="Bodytext21"/>
        <w:shd w:val="clear" w:color="auto" w:fill="auto"/>
        <w:spacing w:before="0" w:after="0" w:line="240" w:lineRule="auto"/>
        <w:ind w:left="600" w:hanging="600"/>
      </w:pPr>
    </w:p>
    <w:p w:rsidR="00C31321" w:rsidRDefault="00C31321" w:rsidP="009763AA">
      <w:pPr>
        <w:pStyle w:val="Heading2"/>
        <w:spacing w:before="0"/>
        <w:rPr>
          <w:rStyle w:val="Bodytext711pt"/>
          <w:rFonts w:ascii="Times New Roman" w:hAnsi="Times New Roman" w:cs="Times New Roman"/>
          <w:b/>
          <w:bCs/>
          <w:color w:val="auto"/>
          <w:sz w:val="24"/>
          <w:szCs w:val="24"/>
        </w:rPr>
      </w:pPr>
      <w:bookmarkStart w:id="56" w:name="bookmark31"/>
      <w:bookmarkStart w:id="57" w:name="bookmark32"/>
    </w:p>
    <w:p w:rsidR="000B5BFC" w:rsidRDefault="00AD4B79" w:rsidP="009763AA">
      <w:pPr>
        <w:pStyle w:val="Heading2"/>
        <w:spacing w:before="0"/>
        <w:rPr>
          <w:rStyle w:val="Bodytext7SmallCaps"/>
          <w:rFonts w:ascii="Times New Roman" w:hAnsi="Times New Roman" w:cs="Times New Roman"/>
          <w:b/>
          <w:bCs/>
          <w:color w:val="auto"/>
          <w:sz w:val="24"/>
          <w:szCs w:val="24"/>
        </w:rPr>
      </w:pPr>
      <w:bookmarkStart w:id="58" w:name="_Toc5010066"/>
      <w:r>
        <w:rPr>
          <w:rStyle w:val="Bodytext711pt"/>
          <w:rFonts w:ascii="Times New Roman" w:hAnsi="Times New Roman" w:cs="Times New Roman"/>
          <w:b/>
          <w:bCs/>
          <w:color w:val="auto"/>
          <w:sz w:val="24"/>
          <w:szCs w:val="24"/>
        </w:rPr>
        <w:t xml:space="preserve">2.5. </w:t>
      </w:r>
      <w:r w:rsidR="00764274" w:rsidRPr="00AD4B79">
        <w:rPr>
          <w:rStyle w:val="Bodytext711pt"/>
          <w:rFonts w:ascii="Times New Roman" w:hAnsi="Times New Roman" w:cs="Times New Roman"/>
          <w:b/>
          <w:bCs/>
          <w:color w:val="auto"/>
          <w:sz w:val="24"/>
          <w:szCs w:val="24"/>
        </w:rPr>
        <w:t>N</w:t>
      </w:r>
      <w:r w:rsidR="00764274" w:rsidRPr="00AD4B79">
        <w:rPr>
          <w:rStyle w:val="Bodytext7SmallCaps"/>
          <w:rFonts w:ascii="Times New Roman" w:hAnsi="Times New Roman" w:cs="Times New Roman"/>
          <w:b/>
          <w:bCs/>
          <w:color w:val="auto"/>
          <w:sz w:val="24"/>
          <w:szCs w:val="24"/>
        </w:rPr>
        <w:t xml:space="preserve">otification of the </w:t>
      </w:r>
      <w:r w:rsidR="00764274" w:rsidRPr="00AD4B79">
        <w:rPr>
          <w:rStyle w:val="Bodytext711pt"/>
          <w:rFonts w:ascii="Times New Roman" w:hAnsi="Times New Roman" w:cs="Times New Roman"/>
          <w:b/>
          <w:bCs/>
          <w:color w:val="auto"/>
          <w:sz w:val="24"/>
          <w:szCs w:val="24"/>
        </w:rPr>
        <w:t>C</w:t>
      </w:r>
      <w:r w:rsidR="00764274" w:rsidRPr="00AD4B79">
        <w:rPr>
          <w:rStyle w:val="Bodytext7SmallCaps"/>
          <w:rFonts w:ascii="Times New Roman" w:hAnsi="Times New Roman" w:cs="Times New Roman"/>
          <w:b/>
          <w:bCs/>
          <w:color w:val="auto"/>
          <w:sz w:val="24"/>
          <w:szCs w:val="24"/>
        </w:rPr>
        <w:t xml:space="preserve">ontracting </w:t>
      </w:r>
      <w:r w:rsidR="00764274" w:rsidRPr="00AD4B79">
        <w:rPr>
          <w:rStyle w:val="Bodytext711pt"/>
          <w:rFonts w:ascii="Times New Roman" w:hAnsi="Times New Roman" w:cs="Times New Roman"/>
          <w:b/>
          <w:bCs/>
          <w:color w:val="auto"/>
          <w:sz w:val="24"/>
          <w:szCs w:val="24"/>
        </w:rPr>
        <w:t>A</w:t>
      </w:r>
      <w:r w:rsidR="00764274" w:rsidRPr="00AD4B79">
        <w:rPr>
          <w:rStyle w:val="Bodytext7SmallCaps"/>
          <w:rFonts w:ascii="Times New Roman" w:hAnsi="Times New Roman" w:cs="Times New Roman"/>
          <w:b/>
          <w:bCs/>
          <w:color w:val="auto"/>
          <w:sz w:val="24"/>
          <w:szCs w:val="24"/>
        </w:rPr>
        <w:t>uthority’s decision</w:t>
      </w:r>
      <w:bookmarkEnd w:id="56"/>
      <w:bookmarkEnd w:id="57"/>
      <w:bookmarkEnd w:id="58"/>
    </w:p>
    <w:p w:rsidR="00AD4B79" w:rsidRPr="00AD4B79" w:rsidRDefault="00AD4B79" w:rsidP="009763AA"/>
    <w:p w:rsidR="00323DD7" w:rsidRPr="00AD4B79" w:rsidRDefault="00AD4B79" w:rsidP="001A23A8">
      <w:pPr>
        <w:pStyle w:val="Heading3"/>
        <w:pBdr>
          <w:top w:val="single" w:sz="4" w:space="1" w:color="auto"/>
          <w:left w:val="single" w:sz="4" w:space="4" w:color="auto"/>
          <w:bottom w:val="single" w:sz="4" w:space="1" w:color="auto"/>
          <w:right w:val="single" w:sz="4" w:space="4" w:color="auto"/>
        </w:pBdr>
        <w:spacing w:before="0"/>
        <w:rPr>
          <w:rFonts w:ascii="Times New Roman" w:hAnsi="Times New Roman" w:cs="Times New Roman"/>
          <w:i/>
          <w:color w:val="auto"/>
          <w:sz w:val="22"/>
          <w:szCs w:val="22"/>
        </w:rPr>
      </w:pPr>
      <w:bookmarkStart w:id="59" w:name="_Toc5010067"/>
      <w:bookmarkStart w:id="60" w:name="_Hlk802160"/>
      <w:r>
        <w:rPr>
          <w:rFonts w:ascii="Times New Roman" w:hAnsi="Times New Roman" w:cs="Times New Roman"/>
          <w:i/>
          <w:color w:val="auto"/>
          <w:sz w:val="22"/>
          <w:szCs w:val="22"/>
        </w:rPr>
        <w:t xml:space="preserve">2.5.1. </w:t>
      </w:r>
      <w:r w:rsidR="00323DD7" w:rsidRPr="00AD4B79">
        <w:rPr>
          <w:rFonts w:ascii="Times New Roman" w:hAnsi="Times New Roman" w:cs="Times New Roman"/>
          <w:i/>
          <w:color w:val="auto"/>
          <w:sz w:val="22"/>
          <w:szCs w:val="22"/>
        </w:rPr>
        <w:t>Content of the decision</w:t>
      </w:r>
      <w:bookmarkEnd w:id="59"/>
    </w:p>
    <w:bookmarkEnd w:id="60"/>
    <w:p w:rsidR="00323DD7" w:rsidRDefault="00323DD7" w:rsidP="007C2B43">
      <w:pPr>
        <w:pStyle w:val="Bodytext21"/>
        <w:shd w:val="clear" w:color="auto" w:fill="auto"/>
        <w:spacing w:before="0" w:after="0" w:line="240" w:lineRule="auto"/>
        <w:ind w:firstLine="0"/>
      </w:pPr>
    </w:p>
    <w:p w:rsidR="000B5BFC" w:rsidRDefault="00764274" w:rsidP="007C2B43">
      <w:pPr>
        <w:pStyle w:val="Bodytext21"/>
        <w:shd w:val="clear" w:color="auto" w:fill="auto"/>
        <w:spacing w:before="0" w:after="0" w:line="240" w:lineRule="auto"/>
        <w:ind w:firstLine="0"/>
      </w:pPr>
      <w:r>
        <w:t xml:space="preserve">The lead applicants will be informed in writing of the Contracting Authority’s decision concerning their application and, if rejected, the reasons </w:t>
      </w:r>
      <w:r w:rsidRPr="007869AD">
        <w:rPr>
          <w:lang w:eastAsia="da-DK" w:bidi="da-DK"/>
        </w:rPr>
        <w:t xml:space="preserve">for </w:t>
      </w:r>
      <w:r>
        <w:t xml:space="preserve">the negative decision. This letter will be sent by e-mail and will appear online automatically in the PROSPECT profile of the user who submitted the application. Lead applicants who, in exceptional cases (see section 2.2), had to submit their application by post or hand- </w:t>
      </w:r>
      <w:r w:rsidRPr="007869AD">
        <w:rPr>
          <w:lang w:eastAsia="it-IT" w:bidi="it-IT"/>
        </w:rPr>
        <w:t xml:space="preserve">delivery, </w:t>
      </w:r>
      <w:r>
        <w:t>will be informed by email or by post if they did not provide any e-mail address. Therefore, please check regularly your PROSPECT profile, taking into account the indicative timetable below.</w:t>
      </w:r>
    </w:p>
    <w:p w:rsidR="002479FF" w:rsidRDefault="002479FF" w:rsidP="007C2B43">
      <w:pPr>
        <w:pStyle w:val="Bodytext21"/>
        <w:shd w:val="clear" w:color="auto" w:fill="auto"/>
        <w:spacing w:before="0" w:after="0" w:line="240" w:lineRule="auto"/>
        <w:ind w:firstLine="0"/>
        <w:jc w:val="left"/>
      </w:pPr>
    </w:p>
    <w:p w:rsidR="00FA32C2" w:rsidRDefault="00764274" w:rsidP="007C2B43">
      <w:pPr>
        <w:pStyle w:val="Bodytext21"/>
        <w:shd w:val="clear" w:color="auto" w:fill="auto"/>
        <w:spacing w:before="0" w:after="0" w:line="240" w:lineRule="auto"/>
        <w:ind w:firstLine="0"/>
        <w:jc w:val="left"/>
      </w:pPr>
      <w:r>
        <w:t>An applicant believing that it has been harmed by an error or irregularity during the award process may lodge a complaint. See further Section 2.4.15 of the practical guide.</w:t>
      </w:r>
      <w:bookmarkStart w:id="61" w:name="bookmark33"/>
    </w:p>
    <w:p w:rsidR="00FA32C2" w:rsidRDefault="00FA32C2" w:rsidP="009763AA">
      <w:pPr>
        <w:rPr>
          <w:sz w:val="22"/>
          <w:szCs w:val="22"/>
        </w:rPr>
      </w:pPr>
      <w:r>
        <w:br w:type="page"/>
      </w:r>
    </w:p>
    <w:p w:rsidR="00323DD7" w:rsidRPr="00315248" w:rsidRDefault="00323DD7" w:rsidP="009763AA">
      <w:pPr>
        <w:pStyle w:val="Heading3"/>
        <w:pBdr>
          <w:top w:val="single" w:sz="4" w:space="1" w:color="auto"/>
          <w:left w:val="single" w:sz="4" w:space="4" w:color="auto"/>
          <w:bottom w:val="single" w:sz="4" w:space="1" w:color="auto"/>
          <w:right w:val="single" w:sz="4" w:space="4" w:color="auto"/>
        </w:pBdr>
        <w:rPr>
          <w:rFonts w:ascii="Times New Roman" w:hAnsi="Times New Roman" w:cs="Times New Roman"/>
          <w:i/>
          <w:color w:val="auto"/>
        </w:rPr>
      </w:pPr>
      <w:bookmarkStart w:id="62" w:name="_Toc5010068"/>
      <w:r w:rsidRPr="00315248">
        <w:rPr>
          <w:rFonts w:ascii="Times New Roman" w:hAnsi="Times New Roman" w:cs="Times New Roman"/>
          <w:i/>
          <w:color w:val="auto"/>
        </w:rPr>
        <w:lastRenderedPageBreak/>
        <w:t>2.5.2.</w:t>
      </w:r>
      <w:r w:rsidRPr="00315248">
        <w:rPr>
          <w:rFonts w:ascii="Times New Roman" w:hAnsi="Times New Roman" w:cs="Times New Roman"/>
          <w:i/>
          <w:color w:val="auto"/>
        </w:rPr>
        <w:tab/>
        <w:t>Indicative Timetable</w:t>
      </w:r>
      <w:bookmarkEnd w:id="62"/>
    </w:p>
    <w:bookmarkEnd w:id="61"/>
    <w:p w:rsidR="000B5BFC" w:rsidRPr="00323DD7" w:rsidRDefault="000B5BFC" w:rsidP="007C2B43">
      <w:pPr>
        <w:tabs>
          <w:tab w:val="left" w:pos="835"/>
        </w:tabs>
        <w:spacing w:after="313"/>
        <w:jc w:val="both"/>
        <w:rPr>
          <w:b/>
          <w: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80"/>
        <w:gridCol w:w="2554"/>
        <w:gridCol w:w="2558"/>
      </w:tblGrid>
      <w:tr w:rsidR="000B5BFC">
        <w:trPr>
          <w:trHeight w:hRule="exact" w:val="590"/>
          <w:jc w:val="center"/>
        </w:trPr>
        <w:tc>
          <w:tcPr>
            <w:tcW w:w="4680" w:type="dxa"/>
            <w:tcBorders>
              <w:top w:val="single" w:sz="4" w:space="0" w:color="auto"/>
              <w:left w:val="single" w:sz="4" w:space="0" w:color="auto"/>
            </w:tcBorders>
            <w:shd w:val="clear" w:color="auto" w:fill="FFFFFF"/>
          </w:tcPr>
          <w:p w:rsidR="000B5BFC" w:rsidRDefault="000B5BFC" w:rsidP="009763AA">
            <w:pPr>
              <w:framePr w:w="9792" w:wrap="notBeside" w:vAnchor="text" w:hAnchor="text" w:xAlign="center" w:y="1"/>
              <w:rPr>
                <w:sz w:val="10"/>
                <w:szCs w:val="10"/>
              </w:rPr>
            </w:pPr>
          </w:p>
        </w:tc>
        <w:tc>
          <w:tcPr>
            <w:tcW w:w="2554" w:type="dxa"/>
            <w:tcBorders>
              <w:top w:val="single" w:sz="4" w:space="0" w:color="auto"/>
              <w:left w:val="single" w:sz="4" w:space="0" w:color="auto"/>
            </w:tcBorders>
            <w:shd w:val="clear" w:color="auto" w:fill="E2E2E2"/>
            <w:vAlign w:val="center"/>
          </w:tcPr>
          <w:p w:rsidR="000B5BFC" w:rsidRDefault="00764274" w:rsidP="007C2B43">
            <w:pPr>
              <w:pStyle w:val="Bodytext21"/>
              <w:framePr w:w="9792" w:wrap="notBeside" w:vAnchor="text" w:hAnchor="text" w:xAlign="center" w:y="1"/>
              <w:shd w:val="clear" w:color="auto" w:fill="auto"/>
              <w:spacing w:before="0" w:after="0" w:line="240" w:lineRule="auto"/>
              <w:ind w:firstLine="0"/>
              <w:jc w:val="center"/>
            </w:pPr>
            <w:r>
              <w:rPr>
                <w:rStyle w:val="Bodytext2Bold"/>
              </w:rPr>
              <w:t>DATE</w:t>
            </w:r>
          </w:p>
        </w:tc>
        <w:tc>
          <w:tcPr>
            <w:tcW w:w="2558" w:type="dxa"/>
            <w:tcBorders>
              <w:top w:val="single" w:sz="4" w:space="0" w:color="auto"/>
              <w:left w:val="single" w:sz="4" w:space="0" w:color="auto"/>
              <w:right w:val="single" w:sz="4" w:space="0" w:color="auto"/>
            </w:tcBorders>
            <w:shd w:val="clear" w:color="auto" w:fill="E2E2E2"/>
            <w:vAlign w:val="center"/>
          </w:tcPr>
          <w:p w:rsidR="000B5BFC" w:rsidRDefault="00764274" w:rsidP="007C2B43">
            <w:pPr>
              <w:pStyle w:val="Bodytext21"/>
              <w:framePr w:w="9792" w:wrap="notBeside" w:vAnchor="text" w:hAnchor="text" w:xAlign="center" w:y="1"/>
              <w:shd w:val="clear" w:color="auto" w:fill="auto"/>
              <w:spacing w:before="0" w:after="0" w:line="240" w:lineRule="auto"/>
              <w:ind w:firstLine="0"/>
              <w:jc w:val="center"/>
            </w:pPr>
            <w:r>
              <w:rPr>
                <w:rStyle w:val="Bodytext2Bold"/>
              </w:rPr>
              <w:t>TIME</w:t>
            </w:r>
          </w:p>
        </w:tc>
      </w:tr>
      <w:tr w:rsidR="000B5BFC">
        <w:trPr>
          <w:trHeight w:hRule="exact" w:val="130"/>
          <w:jc w:val="center"/>
        </w:trPr>
        <w:tc>
          <w:tcPr>
            <w:tcW w:w="4680" w:type="dxa"/>
            <w:tcBorders>
              <w:top w:val="single" w:sz="4" w:space="0" w:color="auto"/>
              <w:left w:val="single" w:sz="4" w:space="0" w:color="auto"/>
            </w:tcBorders>
            <w:shd w:val="clear" w:color="auto" w:fill="E2E2E2"/>
          </w:tcPr>
          <w:p w:rsidR="000B5BFC" w:rsidRDefault="000B5BFC" w:rsidP="009763AA">
            <w:pPr>
              <w:framePr w:w="9792"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0B5BFC" w:rsidRDefault="000B5BFC" w:rsidP="009763AA">
            <w:pPr>
              <w:framePr w:w="9792" w:wrap="notBeside" w:vAnchor="text" w:hAnchor="text" w:xAlign="center" w:y="1"/>
              <w:rPr>
                <w:sz w:val="10"/>
                <w:szCs w:val="10"/>
              </w:rPr>
            </w:pPr>
          </w:p>
        </w:tc>
        <w:tc>
          <w:tcPr>
            <w:tcW w:w="2558" w:type="dxa"/>
            <w:tcBorders>
              <w:top w:val="single" w:sz="4" w:space="0" w:color="auto"/>
              <w:left w:val="single" w:sz="4" w:space="0" w:color="auto"/>
              <w:right w:val="single" w:sz="4" w:space="0" w:color="auto"/>
            </w:tcBorders>
            <w:shd w:val="clear" w:color="auto" w:fill="FFFFFF"/>
          </w:tcPr>
          <w:p w:rsidR="000B5BFC" w:rsidRDefault="000B5BFC" w:rsidP="009763AA">
            <w:pPr>
              <w:framePr w:w="9792" w:wrap="notBeside" w:vAnchor="text" w:hAnchor="text" w:xAlign="center" w:y="1"/>
              <w:rPr>
                <w:sz w:val="10"/>
                <w:szCs w:val="10"/>
              </w:rPr>
            </w:pPr>
          </w:p>
        </w:tc>
      </w:tr>
      <w:tr w:rsidR="00F174AB">
        <w:trPr>
          <w:trHeight w:hRule="exact" w:val="706"/>
          <w:jc w:val="center"/>
        </w:trPr>
        <w:tc>
          <w:tcPr>
            <w:tcW w:w="4680" w:type="dxa"/>
            <w:tcBorders>
              <w:left w:val="single" w:sz="4" w:space="0" w:color="auto"/>
            </w:tcBorders>
            <w:shd w:val="clear" w:color="auto" w:fill="E2E2E2"/>
          </w:tcPr>
          <w:p w:rsidR="00F174AB" w:rsidRDefault="00F174AB" w:rsidP="00F174AB">
            <w:pPr>
              <w:pStyle w:val="Bodytext21"/>
              <w:framePr w:w="9792" w:wrap="notBeside" w:vAnchor="text" w:hAnchor="text" w:xAlign="center" w:y="1"/>
              <w:shd w:val="clear" w:color="auto" w:fill="auto"/>
              <w:spacing w:before="0" w:after="0" w:line="240" w:lineRule="auto"/>
              <w:ind w:left="440" w:hanging="300"/>
              <w:jc w:val="left"/>
            </w:pPr>
            <w:r>
              <w:rPr>
                <w:rStyle w:val="Bodytext2Bold"/>
              </w:rPr>
              <w:t>1. Information meeting (if any)</w:t>
            </w:r>
          </w:p>
        </w:tc>
        <w:tc>
          <w:tcPr>
            <w:tcW w:w="2554" w:type="dxa"/>
            <w:tcBorders>
              <w:lef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left="160" w:firstLine="0"/>
              <w:jc w:val="left"/>
            </w:pPr>
            <w:r w:rsidRPr="00211C4C">
              <w:t xml:space="preserve">         April 11,2019</w:t>
            </w:r>
          </w:p>
        </w:tc>
        <w:tc>
          <w:tcPr>
            <w:tcW w:w="2558" w:type="dxa"/>
            <w:tcBorders>
              <w:left w:val="single" w:sz="4" w:space="0" w:color="auto"/>
              <w:righ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211C4C">
              <w:t xml:space="preserve">from 13:00 hours </w:t>
            </w:r>
          </w:p>
        </w:tc>
      </w:tr>
      <w:tr w:rsidR="00F174AB" w:rsidTr="00F174AB">
        <w:trPr>
          <w:trHeight w:hRule="exact" w:val="835"/>
          <w:jc w:val="center"/>
        </w:trPr>
        <w:tc>
          <w:tcPr>
            <w:tcW w:w="4680" w:type="dxa"/>
            <w:tcBorders>
              <w:top w:val="single" w:sz="4" w:space="0" w:color="auto"/>
              <w:left w:val="single" w:sz="4" w:space="0" w:color="auto"/>
            </w:tcBorders>
            <w:shd w:val="clear" w:color="auto" w:fill="E2E2E2"/>
            <w:vAlign w:val="center"/>
          </w:tcPr>
          <w:p w:rsidR="00F174AB" w:rsidRDefault="00F174AB" w:rsidP="00F174AB">
            <w:pPr>
              <w:pStyle w:val="Bodytext21"/>
              <w:framePr w:w="9792" w:wrap="notBeside" w:vAnchor="text" w:hAnchor="text" w:xAlign="center" w:y="1"/>
              <w:shd w:val="clear" w:color="auto" w:fill="auto"/>
              <w:spacing w:before="0" w:after="0" w:line="240" w:lineRule="auto"/>
              <w:ind w:left="440" w:hanging="300"/>
              <w:jc w:val="left"/>
            </w:pPr>
            <w:r>
              <w:rPr>
                <w:rStyle w:val="Bodytext2Bold"/>
              </w:rPr>
              <w:t>2. Deadline for requesting any clarifications from the contracting authority</w:t>
            </w:r>
          </w:p>
        </w:tc>
        <w:tc>
          <w:tcPr>
            <w:tcW w:w="2554" w:type="dxa"/>
            <w:tcBorders>
              <w:top w:val="single" w:sz="4" w:space="0" w:color="auto"/>
              <w:lef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A538B1">
              <w:t>May 2,2019</w:t>
            </w:r>
          </w:p>
        </w:tc>
        <w:tc>
          <w:tcPr>
            <w:tcW w:w="2558" w:type="dxa"/>
            <w:tcBorders>
              <w:top w:val="single" w:sz="4" w:space="0" w:color="auto"/>
              <w:left w:val="single" w:sz="4" w:space="0" w:color="auto"/>
              <w:righ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A538B1">
              <w:t>15:00 hours</w:t>
            </w:r>
          </w:p>
        </w:tc>
      </w:tr>
      <w:tr w:rsidR="00F174AB" w:rsidTr="00F174AB">
        <w:trPr>
          <w:trHeight w:hRule="exact" w:val="835"/>
          <w:jc w:val="center"/>
        </w:trPr>
        <w:tc>
          <w:tcPr>
            <w:tcW w:w="4680" w:type="dxa"/>
            <w:tcBorders>
              <w:top w:val="single" w:sz="4" w:space="0" w:color="auto"/>
              <w:left w:val="single" w:sz="4" w:space="0" w:color="auto"/>
            </w:tcBorders>
            <w:shd w:val="clear" w:color="auto" w:fill="E2E2E2"/>
            <w:vAlign w:val="center"/>
          </w:tcPr>
          <w:p w:rsidR="00F174AB" w:rsidRDefault="00F174AB" w:rsidP="00F174AB">
            <w:pPr>
              <w:pStyle w:val="Bodytext21"/>
              <w:framePr w:w="9792" w:wrap="notBeside" w:vAnchor="text" w:hAnchor="text" w:xAlign="center" w:y="1"/>
              <w:shd w:val="clear" w:color="auto" w:fill="auto"/>
              <w:spacing w:before="0" w:after="0" w:line="240" w:lineRule="auto"/>
              <w:ind w:left="440" w:hanging="300"/>
              <w:jc w:val="left"/>
            </w:pPr>
            <w:r>
              <w:rPr>
                <w:rStyle w:val="Bodytext2Bold"/>
              </w:rPr>
              <w:t>3. Last date on which clarifications are issued by the contracting authority</w:t>
            </w:r>
          </w:p>
        </w:tc>
        <w:tc>
          <w:tcPr>
            <w:tcW w:w="2554" w:type="dxa"/>
            <w:tcBorders>
              <w:top w:val="single" w:sz="4" w:space="0" w:color="auto"/>
              <w:lef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81356B">
              <w:t>May 12,2019</w:t>
            </w:r>
          </w:p>
        </w:tc>
        <w:tc>
          <w:tcPr>
            <w:tcW w:w="2558" w:type="dxa"/>
            <w:tcBorders>
              <w:top w:val="single" w:sz="4" w:space="0" w:color="auto"/>
              <w:left w:val="single" w:sz="4" w:space="0" w:color="auto"/>
              <w:righ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Pr>
                <w:rStyle w:val="Bodytext20"/>
              </w:rPr>
              <w:t>-</w:t>
            </w:r>
          </w:p>
        </w:tc>
      </w:tr>
      <w:tr w:rsidR="00F174AB">
        <w:trPr>
          <w:trHeight w:hRule="exact" w:val="1090"/>
          <w:jc w:val="center"/>
        </w:trPr>
        <w:tc>
          <w:tcPr>
            <w:tcW w:w="4680" w:type="dxa"/>
            <w:tcBorders>
              <w:top w:val="single" w:sz="4" w:space="0" w:color="auto"/>
              <w:left w:val="single" w:sz="4" w:space="0" w:color="auto"/>
            </w:tcBorders>
            <w:shd w:val="clear" w:color="auto" w:fill="E2E2E2"/>
            <w:vAlign w:val="center"/>
          </w:tcPr>
          <w:p w:rsidR="00F174AB" w:rsidRDefault="00F174AB" w:rsidP="00F174AB">
            <w:pPr>
              <w:pStyle w:val="Bodytext21"/>
              <w:framePr w:w="9792" w:wrap="notBeside" w:vAnchor="text" w:hAnchor="text" w:xAlign="center" w:y="1"/>
              <w:shd w:val="clear" w:color="auto" w:fill="auto"/>
              <w:spacing w:before="0" w:after="0" w:line="240" w:lineRule="auto"/>
              <w:ind w:left="440" w:hanging="300"/>
              <w:jc w:val="left"/>
            </w:pPr>
            <w:r>
              <w:rPr>
                <w:rStyle w:val="Bodytext2Bold"/>
              </w:rPr>
              <w:t>4. Deadline for submission of [restricted procedures: concept notes] [open procedures: applications]</w:t>
            </w:r>
          </w:p>
        </w:tc>
        <w:tc>
          <w:tcPr>
            <w:tcW w:w="2554" w:type="dxa"/>
            <w:tcBorders>
              <w:top w:val="single" w:sz="4" w:space="0" w:color="auto"/>
              <w:lef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F174AB">
              <w:rPr>
                <w:rStyle w:val="Bodytext20"/>
              </w:rPr>
              <w:t>May 23,2019</w:t>
            </w:r>
          </w:p>
        </w:tc>
        <w:tc>
          <w:tcPr>
            <w:tcW w:w="2558" w:type="dxa"/>
            <w:tcBorders>
              <w:top w:val="single" w:sz="4" w:space="0" w:color="auto"/>
              <w:left w:val="single" w:sz="4" w:space="0" w:color="auto"/>
              <w:righ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F174AB">
              <w:t>15:00 hours</w:t>
            </w:r>
          </w:p>
        </w:tc>
      </w:tr>
      <w:tr w:rsidR="00F174AB">
        <w:trPr>
          <w:trHeight w:hRule="exact" w:val="1090"/>
          <w:jc w:val="center"/>
        </w:trPr>
        <w:tc>
          <w:tcPr>
            <w:tcW w:w="4680" w:type="dxa"/>
            <w:tcBorders>
              <w:top w:val="single" w:sz="4" w:space="0" w:color="auto"/>
              <w:left w:val="single" w:sz="4" w:space="0" w:color="auto"/>
            </w:tcBorders>
            <w:shd w:val="clear" w:color="auto" w:fill="E2E2E2"/>
            <w:vAlign w:val="center"/>
          </w:tcPr>
          <w:p w:rsidR="00F174AB" w:rsidRDefault="00F174AB" w:rsidP="00F174AB">
            <w:pPr>
              <w:pStyle w:val="Bodytext21"/>
              <w:framePr w:w="9792" w:wrap="notBeside" w:vAnchor="text" w:hAnchor="text" w:xAlign="center" w:y="1"/>
              <w:shd w:val="clear" w:color="auto" w:fill="auto"/>
              <w:spacing w:before="0" w:after="0" w:line="240" w:lineRule="auto"/>
              <w:ind w:left="440" w:hanging="300"/>
              <w:jc w:val="left"/>
            </w:pPr>
            <w:r>
              <w:rPr>
                <w:rStyle w:val="Bodytext2Bold"/>
              </w:rPr>
              <w:t>5. Information to lead applicants on opening, administrative checks and concept note evaluation (Step 1)</w:t>
            </w:r>
          </w:p>
        </w:tc>
        <w:tc>
          <w:tcPr>
            <w:tcW w:w="2554" w:type="dxa"/>
            <w:tcBorders>
              <w:top w:val="single" w:sz="4" w:space="0" w:color="auto"/>
              <w:lef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F174AB">
              <w:t>July 2,2019</w:t>
            </w:r>
          </w:p>
        </w:tc>
        <w:tc>
          <w:tcPr>
            <w:tcW w:w="2558" w:type="dxa"/>
            <w:tcBorders>
              <w:top w:val="single" w:sz="4" w:space="0" w:color="auto"/>
              <w:left w:val="single" w:sz="4" w:space="0" w:color="auto"/>
              <w:righ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Pr>
                <w:rStyle w:val="Bodytext20"/>
              </w:rPr>
              <w:t>-</w:t>
            </w:r>
          </w:p>
        </w:tc>
      </w:tr>
      <w:tr w:rsidR="00F174AB" w:rsidTr="00F174AB">
        <w:trPr>
          <w:trHeight w:hRule="exact" w:val="581"/>
          <w:jc w:val="center"/>
        </w:trPr>
        <w:tc>
          <w:tcPr>
            <w:tcW w:w="4680" w:type="dxa"/>
            <w:tcBorders>
              <w:top w:val="single" w:sz="4" w:space="0" w:color="auto"/>
              <w:left w:val="single" w:sz="4" w:space="0" w:color="auto"/>
            </w:tcBorders>
            <w:shd w:val="clear" w:color="auto" w:fill="E2E2E2"/>
            <w:vAlign w:val="center"/>
          </w:tcPr>
          <w:p w:rsidR="00F174AB" w:rsidRDefault="00F174AB" w:rsidP="00F174AB">
            <w:pPr>
              <w:pStyle w:val="Bodytext21"/>
              <w:framePr w:w="9792" w:wrap="notBeside" w:vAnchor="text" w:hAnchor="text" w:xAlign="center" w:y="1"/>
              <w:shd w:val="clear" w:color="auto" w:fill="auto"/>
              <w:spacing w:before="0" w:after="0" w:line="240" w:lineRule="auto"/>
              <w:ind w:left="440" w:hanging="300"/>
              <w:jc w:val="left"/>
            </w:pPr>
            <w:r>
              <w:rPr>
                <w:rStyle w:val="Bodytext2Bold"/>
              </w:rPr>
              <w:t>6. Invitations to submit full applications</w:t>
            </w:r>
          </w:p>
        </w:tc>
        <w:tc>
          <w:tcPr>
            <w:tcW w:w="2554" w:type="dxa"/>
            <w:tcBorders>
              <w:top w:val="single" w:sz="4" w:space="0" w:color="auto"/>
              <w:lef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sidRPr="0081356B">
              <w:t>July 4,2019</w:t>
            </w:r>
          </w:p>
        </w:tc>
        <w:tc>
          <w:tcPr>
            <w:tcW w:w="2558" w:type="dxa"/>
            <w:tcBorders>
              <w:top w:val="single" w:sz="4" w:space="0" w:color="auto"/>
              <w:left w:val="single" w:sz="4" w:space="0" w:color="auto"/>
              <w:right w:val="single" w:sz="4" w:space="0" w:color="auto"/>
            </w:tcBorders>
            <w:shd w:val="clear" w:color="auto" w:fill="FFFFFF"/>
            <w:vAlign w:val="center"/>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Pr>
                <w:rStyle w:val="Bodytext20"/>
              </w:rPr>
              <w:t>-</w:t>
            </w:r>
          </w:p>
        </w:tc>
      </w:tr>
      <w:tr w:rsidR="00F174AB" w:rsidTr="00F174AB">
        <w:trPr>
          <w:trHeight w:hRule="exact" w:val="840"/>
          <w:jc w:val="center"/>
        </w:trPr>
        <w:tc>
          <w:tcPr>
            <w:tcW w:w="4680" w:type="dxa"/>
            <w:tcBorders>
              <w:top w:val="single" w:sz="4" w:space="0" w:color="auto"/>
              <w:left w:val="single" w:sz="4" w:space="0" w:color="auto"/>
            </w:tcBorders>
            <w:shd w:val="clear" w:color="auto" w:fill="E2E2E2"/>
          </w:tcPr>
          <w:p w:rsidR="00F174AB" w:rsidRDefault="00F174AB" w:rsidP="00F174AB">
            <w:pPr>
              <w:pStyle w:val="Bodytext21"/>
              <w:framePr w:w="9792" w:wrap="notBeside" w:vAnchor="text" w:hAnchor="text" w:xAlign="center" w:y="1"/>
              <w:shd w:val="clear" w:color="auto" w:fill="auto"/>
              <w:spacing w:before="0" w:after="0" w:line="240" w:lineRule="auto"/>
              <w:ind w:left="440" w:hanging="300"/>
              <w:jc w:val="left"/>
            </w:pPr>
            <w:r>
              <w:rPr>
                <w:rStyle w:val="Bodytext2Bold"/>
              </w:rPr>
              <w:t>7. Deadline for submission of full applications</w:t>
            </w:r>
          </w:p>
        </w:tc>
        <w:tc>
          <w:tcPr>
            <w:tcW w:w="2554" w:type="dxa"/>
            <w:tcBorders>
              <w:top w:val="single" w:sz="4" w:space="0" w:color="auto"/>
              <w:lef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t>August 23,2019</w:t>
            </w:r>
          </w:p>
        </w:tc>
        <w:tc>
          <w:tcPr>
            <w:tcW w:w="2558" w:type="dxa"/>
            <w:tcBorders>
              <w:top w:val="single" w:sz="4" w:space="0" w:color="auto"/>
              <w:left w:val="single" w:sz="4" w:space="0" w:color="auto"/>
              <w:right w:val="single" w:sz="4" w:space="0" w:color="auto"/>
            </w:tcBorders>
            <w:shd w:val="clear" w:color="auto" w:fill="FFFFFF"/>
          </w:tcPr>
          <w:p w:rsidR="00F174AB" w:rsidRDefault="00F174AB" w:rsidP="00F174AB">
            <w:pPr>
              <w:pStyle w:val="Bodytext21"/>
              <w:framePr w:w="9792" w:wrap="notBeside" w:vAnchor="text" w:hAnchor="text" w:xAlign="center" w:y="1"/>
              <w:shd w:val="clear" w:color="auto" w:fill="auto"/>
              <w:spacing w:before="0" w:after="0" w:line="240" w:lineRule="auto"/>
              <w:ind w:firstLine="0"/>
              <w:jc w:val="center"/>
            </w:pPr>
            <w:r>
              <w:rPr>
                <w:rStyle w:val="Bodytext20"/>
              </w:rPr>
              <w:t>-</w:t>
            </w:r>
          </w:p>
        </w:tc>
      </w:tr>
      <w:tr w:rsidR="000B5BFC">
        <w:trPr>
          <w:trHeight w:hRule="exact" w:val="835"/>
          <w:jc w:val="center"/>
        </w:trPr>
        <w:tc>
          <w:tcPr>
            <w:tcW w:w="4680" w:type="dxa"/>
            <w:tcBorders>
              <w:top w:val="single" w:sz="4" w:space="0" w:color="auto"/>
              <w:left w:val="single" w:sz="4" w:space="0" w:color="auto"/>
            </w:tcBorders>
            <w:shd w:val="clear" w:color="auto" w:fill="E2E2E2"/>
            <w:vAlign w:val="center"/>
          </w:tcPr>
          <w:p w:rsidR="000B5BFC" w:rsidRDefault="00764274" w:rsidP="007C2B43">
            <w:pPr>
              <w:pStyle w:val="Bodytext21"/>
              <w:framePr w:w="9792" w:wrap="notBeside" w:vAnchor="text" w:hAnchor="text" w:xAlign="center" w:y="1"/>
              <w:shd w:val="clear" w:color="auto" w:fill="auto"/>
              <w:spacing w:before="0" w:after="0" w:line="240" w:lineRule="auto"/>
              <w:ind w:left="440" w:hanging="300"/>
              <w:jc w:val="left"/>
            </w:pPr>
            <w:r>
              <w:rPr>
                <w:rStyle w:val="Bodytext2Bold"/>
              </w:rPr>
              <w:t>8. Information to lead applicants on the evaluation of the full applications (Step 2)</w:t>
            </w:r>
          </w:p>
        </w:tc>
        <w:tc>
          <w:tcPr>
            <w:tcW w:w="2554" w:type="dxa"/>
            <w:tcBorders>
              <w:top w:val="single" w:sz="4" w:space="0" w:color="auto"/>
              <w:left w:val="single" w:sz="4" w:space="0" w:color="auto"/>
            </w:tcBorders>
            <w:shd w:val="clear" w:color="auto" w:fill="FFFFFF"/>
          </w:tcPr>
          <w:p w:rsidR="000B5BFC" w:rsidRDefault="00F174AB" w:rsidP="007C2B43">
            <w:pPr>
              <w:pStyle w:val="Bodytext21"/>
              <w:framePr w:w="9792" w:wrap="notBeside" w:vAnchor="text" w:hAnchor="text" w:xAlign="center" w:y="1"/>
              <w:shd w:val="clear" w:color="auto" w:fill="auto"/>
              <w:spacing w:before="0" w:after="0" w:line="240" w:lineRule="auto"/>
              <w:ind w:firstLine="0"/>
              <w:jc w:val="center"/>
            </w:pPr>
            <w:r>
              <w:rPr>
                <w:rStyle w:val="Bodytext20"/>
              </w:rPr>
              <w:t>October 3,2019</w:t>
            </w:r>
          </w:p>
        </w:tc>
        <w:tc>
          <w:tcPr>
            <w:tcW w:w="2558" w:type="dxa"/>
            <w:tcBorders>
              <w:top w:val="single" w:sz="4" w:space="0" w:color="auto"/>
              <w:left w:val="single" w:sz="4" w:space="0" w:color="auto"/>
              <w:right w:val="single" w:sz="4" w:space="0" w:color="auto"/>
            </w:tcBorders>
            <w:shd w:val="clear" w:color="auto" w:fill="FFFFFF"/>
          </w:tcPr>
          <w:p w:rsidR="000B5BFC" w:rsidRDefault="00764274" w:rsidP="007C2B43">
            <w:pPr>
              <w:pStyle w:val="Bodytext21"/>
              <w:framePr w:w="9792" w:wrap="notBeside" w:vAnchor="text" w:hAnchor="text" w:xAlign="center" w:y="1"/>
              <w:shd w:val="clear" w:color="auto" w:fill="auto"/>
              <w:spacing w:before="0" w:after="0" w:line="240" w:lineRule="auto"/>
              <w:ind w:firstLine="0"/>
              <w:jc w:val="center"/>
            </w:pPr>
            <w:r>
              <w:rPr>
                <w:rStyle w:val="Bodytext20"/>
              </w:rPr>
              <w:t>-</w:t>
            </w:r>
          </w:p>
        </w:tc>
      </w:tr>
      <w:tr w:rsidR="000B5BFC">
        <w:trPr>
          <w:trHeight w:hRule="exact" w:val="835"/>
          <w:jc w:val="center"/>
        </w:trPr>
        <w:tc>
          <w:tcPr>
            <w:tcW w:w="4680" w:type="dxa"/>
            <w:tcBorders>
              <w:top w:val="single" w:sz="4" w:space="0" w:color="auto"/>
              <w:left w:val="single" w:sz="4" w:space="0" w:color="auto"/>
            </w:tcBorders>
            <w:shd w:val="clear" w:color="auto" w:fill="E2E2E2"/>
            <w:vAlign w:val="center"/>
          </w:tcPr>
          <w:p w:rsidR="000B5BFC" w:rsidRDefault="00764274" w:rsidP="007C2B43">
            <w:pPr>
              <w:pStyle w:val="Bodytext21"/>
              <w:framePr w:w="9792" w:wrap="notBeside" w:vAnchor="text" w:hAnchor="text" w:xAlign="center" w:y="1"/>
              <w:shd w:val="clear" w:color="auto" w:fill="auto"/>
              <w:spacing w:before="0" w:after="0" w:line="240" w:lineRule="auto"/>
              <w:ind w:left="440" w:hanging="300"/>
              <w:jc w:val="left"/>
            </w:pPr>
            <w:r>
              <w:rPr>
                <w:rStyle w:val="Bodytext2Bold"/>
              </w:rPr>
              <w:t>9. Notification of award (after the eligibility check) (Step 3)</w:t>
            </w:r>
          </w:p>
        </w:tc>
        <w:tc>
          <w:tcPr>
            <w:tcW w:w="2554" w:type="dxa"/>
            <w:tcBorders>
              <w:top w:val="single" w:sz="4" w:space="0" w:color="auto"/>
              <w:left w:val="single" w:sz="4" w:space="0" w:color="auto"/>
            </w:tcBorders>
            <w:shd w:val="clear" w:color="auto" w:fill="FFFFFF"/>
          </w:tcPr>
          <w:p w:rsidR="000B5BFC" w:rsidRDefault="00F174AB" w:rsidP="007C2B43">
            <w:pPr>
              <w:pStyle w:val="Bodytext21"/>
              <w:framePr w:w="9792" w:wrap="notBeside" w:vAnchor="text" w:hAnchor="text" w:xAlign="center" w:y="1"/>
              <w:shd w:val="clear" w:color="auto" w:fill="auto"/>
              <w:spacing w:before="0" w:after="0" w:line="240" w:lineRule="auto"/>
              <w:ind w:firstLine="0"/>
              <w:jc w:val="center"/>
            </w:pPr>
            <w:r>
              <w:rPr>
                <w:rStyle w:val="Bodytext20"/>
              </w:rPr>
              <w:t>October 18,2019</w:t>
            </w:r>
          </w:p>
        </w:tc>
        <w:tc>
          <w:tcPr>
            <w:tcW w:w="2558" w:type="dxa"/>
            <w:tcBorders>
              <w:top w:val="single" w:sz="4" w:space="0" w:color="auto"/>
              <w:left w:val="single" w:sz="4" w:space="0" w:color="auto"/>
              <w:right w:val="single" w:sz="4" w:space="0" w:color="auto"/>
            </w:tcBorders>
            <w:shd w:val="clear" w:color="auto" w:fill="FFFFFF"/>
          </w:tcPr>
          <w:p w:rsidR="000B5BFC" w:rsidRDefault="00764274" w:rsidP="007C2B43">
            <w:pPr>
              <w:pStyle w:val="Bodytext21"/>
              <w:framePr w:w="9792" w:wrap="notBeside" w:vAnchor="text" w:hAnchor="text" w:xAlign="center" w:y="1"/>
              <w:shd w:val="clear" w:color="auto" w:fill="auto"/>
              <w:spacing w:before="0" w:after="0" w:line="240" w:lineRule="auto"/>
              <w:ind w:firstLine="0"/>
              <w:jc w:val="center"/>
            </w:pPr>
            <w:r>
              <w:rPr>
                <w:rStyle w:val="Bodytext20"/>
              </w:rPr>
              <w:t>-</w:t>
            </w:r>
          </w:p>
        </w:tc>
      </w:tr>
      <w:tr w:rsidR="000B5BFC">
        <w:trPr>
          <w:trHeight w:hRule="exact" w:val="590"/>
          <w:jc w:val="center"/>
        </w:trPr>
        <w:tc>
          <w:tcPr>
            <w:tcW w:w="4680" w:type="dxa"/>
            <w:tcBorders>
              <w:top w:val="single" w:sz="4" w:space="0" w:color="auto"/>
              <w:left w:val="single" w:sz="4" w:space="0" w:color="auto"/>
              <w:bottom w:val="single" w:sz="4" w:space="0" w:color="auto"/>
            </w:tcBorders>
            <w:shd w:val="clear" w:color="auto" w:fill="E2E2E2"/>
            <w:vAlign w:val="center"/>
          </w:tcPr>
          <w:p w:rsidR="000B5BFC" w:rsidRDefault="00764274" w:rsidP="007C2B43">
            <w:pPr>
              <w:pStyle w:val="Bodytext21"/>
              <w:framePr w:w="9792" w:wrap="notBeside" w:vAnchor="text" w:hAnchor="text" w:xAlign="center" w:y="1"/>
              <w:shd w:val="clear" w:color="auto" w:fill="auto"/>
              <w:spacing w:before="0" w:after="0" w:line="240" w:lineRule="auto"/>
              <w:ind w:left="440" w:hanging="300"/>
              <w:jc w:val="left"/>
            </w:pPr>
            <w:r>
              <w:rPr>
                <w:rStyle w:val="Bodytext2Bold"/>
              </w:rPr>
              <w:t>10. Contract signature</w:t>
            </w:r>
          </w:p>
        </w:tc>
        <w:tc>
          <w:tcPr>
            <w:tcW w:w="2554" w:type="dxa"/>
            <w:tcBorders>
              <w:top w:val="single" w:sz="4" w:space="0" w:color="auto"/>
              <w:left w:val="single" w:sz="4" w:space="0" w:color="auto"/>
              <w:bottom w:val="single" w:sz="4" w:space="0" w:color="auto"/>
            </w:tcBorders>
            <w:shd w:val="clear" w:color="auto" w:fill="FFFFFF"/>
            <w:vAlign w:val="center"/>
          </w:tcPr>
          <w:p w:rsidR="000B5BFC" w:rsidRDefault="00F174AB" w:rsidP="007C2B43">
            <w:pPr>
              <w:pStyle w:val="Bodytext21"/>
              <w:framePr w:w="9792" w:wrap="notBeside" w:vAnchor="text" w:hAnchor="text" w:xAlign="center" w:y="1"/>
              <w:shd w:val="clear" w:color="auto" w:fill="auto"/>
              <w:spacing w:before="0" w:after="0" w:line="240" w:lineRule="auto"/>
              <w:ind w:firstLine="0"/>
              <w:jc w:val="center"/>
            </w:pPr>
            <w:r>
              <w:rPr>
                <w:rStyle w:val="Bodytext20"/>
              </w:rPr>
              <w:t>December 31,2019</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0B5BFC" w:rsidRDefault="00764274" w:rsidP="007C2B43">
            <w:pPr>
              <w:pStyle w:val="Bodytext21"/>
              <w:framePr w:w="9792" w:wrap="notBeside" w:vAnchor="text" w:hAnchor="text" w:xAlign="center" w:y="1"/>
              <w:shd w:val="clear" w:color="auto" w:fill="auto"/>
              <w:spacing w:before="0" w:after="0" w:line="240" w:lineRule="auto"/>
              <w:ind w:firstLine="0"/>
              <w:jc w:val="center"/>
            </w:pPr>
            <w:r>
              <w:rPr>
                <w:rStyle w:val="Bodytext20"/>
              </w:rPr>
              <w:t>-</w:t>
            </w:r>
          </w:p>
        </w:tc>
      </w:tr>
    </w:tbl>
    <w:p w:rsidR="000B5BFC" w:rsidRDefault="00764274" w:rsidP="007C2B43">
      <w:pPr>
        <w:pStyle w:val="Tablecaption0"/>
        <w:framePr w:w="9792" w:wrap="notBeside" w:vAnchor="text" w:hAnchor="text" w:xAlign="center" w:y="1"/>
        <w:shd w:val="clear" w:color="auto" w:fill="auto"/>
        <w:spacing w:line="240" w:lineRule="auto"/>
        <w:jc w:val="left"/>
      </w:pPr>
      <w:r>
        <w:t>All times are in the time zone of the country of the contracting authority.</w:t>
      </w:r>
    </w:p>
    <w:p w:rsidR="000B5BFC" w:rsidRDefault="000B5BFC" w:rsidP="009763AA">
      <w:pPr>
        <w:framePr w:w="9792" w:wrap="notBeside" w:vAnchor="text" w:hAnchor="text" w:xAlign="center" w:y="1"/>
        <w:rPr>
          <w:sz w:val="2"/>
          <w:szCs w:val="2"/>
        </w:rPr>
      </w:pPr>
    </w:p>
    <w:p w:rsidR="000B5BFC" w:rsidRDefault="000B5BFC" w:rsidP="009763AA">
      <w:pPr>
        <w:rPr>
          <w:sz w:val="2"/>
          <w:szCs w:val="2"/>
        </w:rPr>
      </w:pPr>
    </w:p>
    <w:p w:rsidR="000B5BFC" w:rsidRDefault="00764274" w:rsidP="007C2B43">
      <w:pPr>
        <w:pStyle w:val="Bodytext21"/>
        <w:shd w:val="clear" w:color="auto" w:fill="auto"/>
        <w:spacing w:before="0" w:after="0" w:line="240" w:lineRule="auto"/>
        <w:ind w:firstLine="0"/>
        <w:jc w:val="left"/>
      </w:pPr>
      <w:bookmarkStart w:id="63" w:name="bookmark34"/>
      <w:r>
        <w:t>This indicative timetable refers to provisional dates (except for dates 2, 3, and 4) and may be updated by the contracting authority during the procedure. In such cases, the updated timetable will be published on the web site of DG International Cooperation and Development:</w:t>
      </w:r>
      <w:hyperlink r:id="rId27" w:history="1">
        <w:r>
          <w:rPr>
            <w:rStyle w:val="Bodytext27"/>
          </w:rPr>
          <w:t>https://webgate.ec.europa.eu/europeaid/online-</w:t>
        </w:r>
      </w:hyperlink>
      <w:hyperlink r:id="rId28" w:history="1">
        <w:r>
          <w:rPr>
            <w:rStyle w:val="Bodytext27"/>
          </w:rPr>
          <w:t>services/index.cfm?do=publi.welcome</w:t>
        </w:r>
        <w:r w:rsidR="005B269A">
          <w:rPr>
            <w:rStyle w:val="Bodytext27"/>
          </w:rPr>
          <w:t>.</w:t>
        </w:r>
      </w:hyperlink>
      <w:bookmarkEnd w:id="63"/>
    </w:p>
    <w:p w:rsidR="00D26CB5" w:rsidRDefault="00D26CB5" w:rsidP="007C2B43">
      <w:pPr>
        <w:pStyle w:val="Bodytext21"/>
        <w:shd w:val="clear" w:color="auto" w:fill="auto"/>
        <w:spacing w:before="0" w:after="0" w:line="240" w:lineRule="auto"/>
        <w:ind w:firstLine="0"/>
        <w:jc w:val="left"/>
      </w:pPr>
    </w:p>
    <w:p w:rsidR="000B5BFC" w:rsidRPr="00FA5BCB" w:rsidRDefault="00CD772C" w:rsidP="009763AA">
      <w:pPr>
        <w:pStyle w:val="Heading2"/>
        <w:spacing w:before="0"/>
        <w:rPr>
          <w:rFonts w:ascii="Times New Roman" w:hAnsi="Times New Roman" w:cs="Times New Roman"/>
          <w:smallCaps/>
          <w:color w:val="auto"/>
          <w:sz w:val="24"/>
          <w:szCs w:val="24"/>
        </w:rPr>
      </w:pPr>
      <w:bookmarkStart w:id="64" w:name="_Toc5010069"/>
      <w:r>
        <w:rPr>
          <w:rStyle w:val="Bodytext711pt"/>
          <w:rFonts w:ascii="Times New Roman" w:hAnsi="Times New Roman" w:cs="Times New Roman"/>
          <w:b/>
          <w:bCs/>
          <w:color w:val="auto"/>
          <w:sz w:val="24"/>
          <w:szCs w:val="24"/>
        </w:rPr>
        <w:t xml:space="preserve">2.6. </w:t>
      </w:r>
      <w:r w:rsidR="00764274" w:rsidRPr="00CD772C">
        <w:rPr>
          <w:rStyle w:val="Bodytext711pt"/>
          <w:rFonts w:ascii="Times New Roman" w:hAnsi="Times New Roman" w:cs="Times New Roman"/>
          <w:b/>
          <w:bCs/>
          <w:color w:val="auto"/>
          <w:sz w:val="24"/>
          <w:szCs w:val="24"/>
        </w:rPr>
        <w:t>C</w:t>
      </w:r>
      <w:r w:rsidR="00764274" w:rsidRPr="00CD772C">
        <w:rPr>
          <w:rStyle w:val="Bodytext7SmallCaps"/>
          <w:rFonts w:ascii="Times New Roman" w:hAnsi="Times New Roman" w:cs="Times New Roman"/>
          <w:b/>
          <w:bCs/>
          <w:color w:val="auto"/>
          <w:sz w:val="24"/>
          <w:szCs w:val="24"/>
        </w:rPr>
        <w:t>onditions for implementation after the contracting authority’s decision to</w:t>
      </w:r>
      <w:r w:rsidR="00FA5BCB">
        <w:rPr>
          <w:rStyle w:val="Bodytext7SmallCaps"/>
          <w:rFonts w:ascii="Times New Roman" w:hAnsi="Times New Roman" w:cs="Times New Roman"/>
          <w:b/>
          <w:bCs/>
          <w:color w:val="auto"/>
          <w:sz w:val="24"/>
          <w:szCs w:val="24"/>
        </w:rPr>
        <w:t xml:space="preserve"> </w:t>
      </w:r>
      <w:r w:rsidR="00764274" w:rsidRPr="00CD772C">
        <w:rPr>
          <w:rFonts w:ascii="Times New Roman" w:hAnsi="Times New Roman" w:cs="Times New Roman"/>
          <w:color w:val="auto"/>
          <w:sz w:val="24"/>
          <w:szCs w:val="24"/>
        </w:rPr>
        <w:t>AWARD A GRANT</w:t>
      </w:r>
      <w:bookmarkEnd w:id="64"/>
    </w:p>
    <w:p w:rsidR="00FA32C2" w:rsidRPr="00F07EDA" w:rsidRDefault="00FA32C2" w:rsidP="007C2B43">
      <w:pPr>
        <w:pStyle w:val="Bodytext70"/>
        <w:shd w:val="clear" w:color="auto" w:fill="auto"/>
        <w:spacing w:before="0" w:after="0" w:line="240" w:lineRule="auto"/>
        <w:ind w:left="600"/>
        <w:jc w:val="left"/>
        <w:rPr>
          <w:sz w:val="24"/>
          <w:szCs w:val="24"/>
        </w:rPr>
      </w:pPr>
    </w:p>
    <w:p w:rsidR="000B5BFC" w:rsidRDefault="00764274" w:rsidP="007C2B43">
      <w:pPr>
        <w:pStyle w:val="Bodytext21"/>
        <w:shd w:val="clear" w:color="auto" w:fill="auto"/>
        <w:spacing w:before="0" w:after="0" w:line="240" w:lineRule="auto"/>
        <w:ind w:firstLine="0"/>
      </w:pPr>
      <w:r>
        <w:t>Following the decision to award a grant, the beneficiary</w:t>
      </w:r>
      <w:r w:rsidR="00DC54AB">
        <w:t xml:space="preserve"> </w:t>
      </w:r>
      <w:r>
        <w:t>(</w:t>
      </w:r>
      <w:proofErr w:type="spellStart"/>
      <w:r>
        <w:t>ies</w:t>
      </w:r>
      <w:proofErr w:type="spellEnd"/>
      <w:r>
        <w:t xml:space="preserve">) will be offered a contract based on the standard grant contract (see Annex </w:t>
      </w:r>
      <w:r w:rsidRPr="007869AD">
        <w:rPr>
          <w:lang w:eastAsia="fr-FR" w:bidi="fr-FR"/>
        </w:rPr>
        <w:t xml:space="preserve">G </w:t>
      </w:r>
      <w:r>
        <w:t xml:space="preserve">of these guidelines). By signing the application form (Annex A of these guidelines), the applicants agree, if awarded a grant, to accept the contractual conditions of the standard grant contract. Where the coordinator is an organisation whose pillars have been positively assessed, it will sign a contribution agreement based on the contribution agreement template. In this case references to provisions of the standard </w:t>
      </w:r>
      <w:r>
        <w:rPr>
          <w:lang w:val="cs-CZ" w:eastAsia="cs-CZ" w:bidi="cs-CZ"/>
        </w:rPr>
        <w:t xml:space="preserve">grant </w:t>
      </w:r>
      <w:r>
        <w:t xml:space="preserve">contract and its annexes shall not apply. References in these guidelines to the </w:t>
      </w:r>
      <w:r>
        <w:rPr>
          <w:lang w:val="cs-CZ" w:eastAsia="cs-CZ" w:bidi="cs-CZ"/>
        </w:rPr>
        <w:t xml:space="preserve">grant </w:t>
      </w:r>
      <w:r>
        <w:t xml:space="preserve">contract </w:t>
      </w:r>
      <w:r>
        <w:lastRenderedPageBreak/>
        <w:t>shall be understood as references to the relevant provisions of the contribution agreement.</w:t>
      </w:r>
    </w:p>
    <w:p w:rsidR="0042023D" w:rsidRDefault="00764274" w:rsidP="009763AA">
      <w:pPr>
        <w:pStyle w:val="NoSpacing"/>
        <w:jc w:val="both"/>
        <w:rPr>
          <w:rStyle w:val="Bodytext26"/>
        </w:rPr>
      </w:pPr>
      <w:r w:rsidRPr="005B269A">
        <w:rPr>
          <w:rStyle w:val="Bodytext26"/>
        </w:rPr>
        <w:t>Implementation contracts</w:t>
      </w:r>
    </w:p>
    <w:p w:rsidR="005B269A" w:rsidRPr="005B269A" w:rsidRDefault="005B269A" w:rsidP="009763AA">
      <w:pPr>
        <w:pStyle w:val="NoSpacing"/>
        <w:jc w:val="both"/>
        <w:rPr>
          <w:sz w:val="22"/>
          <w:szCs w:val="22"/>
        </w:rPr>
      </w:pPr>
    </w:p>
    <w:p w:rsidR="000B5BFC" w:rsidRDefault="00764274" w:rsidP="009763AA">
      <w:pPr>
        <w:pStyle w:val="NoSpacing"/>
        <w:jc w:val="both"/>
        <w:rPr>
          <w:sz w:val="22"/>
          <w:szCs w:val="22"/>
        </w:rPr>
      </w:pPr>
      <w:r w:rsidRPr="005B269A">
        <w:rPr>
          <w:sz w:val="22"/>
          <w:szCs w:val="22"/>
        </w:rPr>
        <w:t>Where implementation of the action requires the beneficiary(</w:t>
      </w:r>
      <w:proofErr w:type="spellStart"/>
      <w:r w:rsidRPr="005B269A">
        <w:rPr>
          <w:sz w:val="22"/>
          <w:szCs w:val="22"/>
        </w:rPr>
        <w:t>ies</w:t>
      </w:r>
      <w:proofErr w:type="spellEnd"/>
      <w:r w:rsidRPr="005B269A">
        <w:rPr>
          <w:sz w:val="22"/>
          <w:szCs w:val="22"/>
        </w:rPr>
        <w:t>) and its affiliated entity(</w:t>
      </w:r>
      <w:proofErr w:type="spellStart"/>
      <w:r w:rsidRPr="005B269A">
        <w:rPr>
          <w:sz w:val="22"/>
          <w:szCs w:val="22"/>
        </w:rPr>
        <w:t>ies</w:t>
      </w:r>
      <w:proofErr w:type="spellEnd"/>
      <w:r w:rsidRPr="005B269A">
        <w:rPr>
          <w:sz w:val="22"/>
          <w:szCs w:val="22"/>
        </w:rPr>
        <w:t>) (if any) to award procurement contracts, those contracts must be awarded in accordance with Annex IV to the standard grant contract.</w:t>
      </w:r>
    </w:p>
    <w:p w:rsidR="00EA738E" w:rsidRPr="005B269A" w:rsidRDefault="00EA738E" w:rsidP="001A23A8">
      <w:pPr>
        <w:pStyle w:val="NoSpacing"/>
        <w:jc w:val="both"/>
        <w:rPr>
          <w:sz w:val="22"/>
          <w:szCs w:val="22"/>
        </w:rPr>
      </w:pPr>
    </w:p>
    <w:p w:rsidR="000B5BFC" w:rsidRDefault="00764274" w:rsidP="00480E34">
      <w:pPr>
        <w:pStyle w:val="NoSpacing"/>
        <w:jc w:val="both"/>
        <w:rPr>
          <w:sz w:val="22"/>
          <w:szCs w:val="22"/>
        </w:rPr>
      </w:pPr>
      <w:r w:rsidRPr="005B269A">
        <w:rPr>
          <w:sz w:val="22"/>
          <w:szCs w:val="22"/>
        </w:rPr>
        <w:t xml:space="preserve">In this context, a distinction should be made between awarding implementation contracts and subcontracting parts of the action described in the proposal, i.e. the description of the action annexed to the grant </w:t>
      </w:r>
      <w:proofErr w:type="gramStart"/>
      <w:r w:rsidRPr="005B269A">
        <w:rPr>
          <w:sz w:val="22"/>
          <w:szCs w:val="22"/>
        </w:rPr>
        <w:t>contract ,</w:t>
      </w:r>
      <w:proofErr w:type="gramEnd"/>
      <w:r w:rsidRPr="005B269A">
        <w:rPr>
          <w:sz w:val="22"/>
          <w:szCs w:val="22"/>
        </w:rPr>
        <w:t xml:space="preserve"> such subcontracting being subject to additional restrictions (see the general </w:t>
      </w:r>
      <w:r w:rsidRPr="005B269A">
        <w:rPr>
          <w:sz w:val="22"/>
          <w:szCs w:val="22"/>
          <w:lang w:eastAsia="da-DK" w:bidi="da-DK"/>
        </w:rPr>
        <w:t xml:space="preserve">terms </w:t>
      </w:r>
      <w:r w:rsidRPr="005B269A">
        <w:rPr>
          <w:sz w:val="22"/>
          <w:szCs w:val="22"/>
        </w:rPr>
        <w:t>and conditions in the model grant contract ).</w:t>
      </w:r>
    </w:p>
    <w:p w:rsidR="00EA738E" w:rsidRPr="005B269A" w:rsidRDefault="00EA738E" w:rsidP="00480E34">
      <w:pPr>
        <w:pStyle w:val="NoSpacing"/>
        <w:jc w:val="both"/>
        <w:rPr>
          <w:sz w:val="22"/>
          <w:szCs w:val="22"/>
        </w:rPr>
      </w:pPr>
    </w:p>
    <w:p w:rsidR="000B5BFC" w:rsidRDefault="00764274">
      <w:pPr>
        <w:pStyle w:val="NoSpacing"/>
        <w:jc w:val="both"/>
        <w:rPr>
          <w:sz w:val="22"/>
          <w:szCs w:val="22"/>
        </w:rPr>
      </w:pPr>
      <w:r w:rsidRPr="005B269A">
        <w:rPr>
          <w:sz w:val="22"/>
          <w:szCs w:val="22"/>
        </w:rPr>
        <w:t xml:space="preserve">Awarding implementation contracts: implementation contracts relate to the acquisition by beneficiaries of routine services and/or necessary goods and equipment as </w:t>
      </w:r>
      <w:r w:rsidRPr="005B269A">
        <w:rPr>
          <w:sz w:val="22"/>
          <w:szCs w:val="22"/>
          <w:lang w:val="cs-CZ" w:eastAsia="cs-CZ" w:bidi="cs-CZ"/>
        </w:rPr>
        <w:t xml:space="preserve">part </w:t>
      </w:r>
      <w:r w:rsidRPr="005B269A">
        <w:rPr>
          <w:sz w:val="22"/>
          <w:szCs w:val="22"/>
        </w:rPr>
        <w:t>of their project management; they do not cover any outsourcing of tasks forming part of the action that are described in the proposal, i.e. in the description of the action annexed to the grant contract.</w:t>
      </w:r>
    </w:p>
    <w:p w:rsidR="00EA738E" w:rsidRPr="005B269A" w:rsidRDefault="00EA738E">
      <w:pPr>
        <w:pStyle w:val="NoSpacing"/>
        <w:jc w:val="both"/>
        <w:rPr>
          <w:sz w:val="22"/>
          <w:szCs w:val="22"/>
        </w:rPr>
      </w:pPr>
    </w:p>
    <w:p w:rsidR="000B5BFC" w:rsidRDefault="00764274">
      <w:pPr>
        <w:pStyle w:val="NoSpacing"/>
        <w:jc w:val="both"/>
        <w:rPr>
          <w:sz w:val="22"/>
          <w:szCs w:val="22"/>
        </w:rPr>
      </w:pPr>
      <w:r w:rsidRPr="005B269A">
        <w:rPr>
          <w:sz w:val="22"/>
          <w:szCs w:val="22"/>
        </w:rPr>
        <w:t xml:space="preserve">Subcontracting: Subcontracting is the implementation, by a </w:t>
      </w:r>
      <w:r w:rsidRPr="005B269A">
        <w:rPr>
          <w:sz w:val="22"/>
          <w:szCs w:val="22"/>
          <w:lang w:eastAsia="da-DK" w:bidi="da-DK"/>
        </w:rPr>
        <w:t xml:space="preserve">third </w:t>
      </w:r>
      <w:r w:rsidRPr="005B269A">
        <w:rPr>
          <w:sz w:val="22"/>
          <w:szCs w:val="22"/>
          <w:lang w:val="cs-CZ" w:eastAsia="cs-CZ" w:bidi="cs-CZ"/>
        </w:rPr>
        <w:t xml:space="preserve">party </w:t>
      </w:r>
      <w:r w:rsidRPr="005B269A">
        <w:rPr>
          <w:sz w:val="22"/>
          <w:szCs w:val="22"/>
        </w:rPr>
        <w:t xml:space="preserve">with which one or more beneficiaries have concluded a procurement contract, of specific tasks forming part of the action as described in </w:t>
      </w:r>
      <w:r w:rsidRPr="005B269A">
        <w:rPr>
          <w:sz w:val="22"/>
          <w:szCs w:val="22"/>
          <w:lang w:eastAsia="nl-NL" w:bidi="nl-NL"/>
        </w:rPr>
        <w:t xml:space="preserve">annex </w:t>
      </w:r>
      <w:r w:rsidRPr="005B269A">
        <w:rPr>
          <w:sz w:val="22"/>
          <w:szCs w:val="22"/>
        </w:rPr>
        <w:t xml:space="preserve">to the </w:t>
      </w:r>
      <w:r w:rsidRPr="005B269A">
        <w:rPr>
          <w:sz w:val="22"/>
          <w:szCs w:val="22"/>
          <w:lang w:val="cs-CZ" w:eastAsia="cs-CZ" w:bidi="cs-CZ"/>
        </w:rPr>
        <w:t xml:space="preserve">grant </w:t>
      </w:r>
      <w:r w:rsidRPr="005B269A">
        <w:rPr>
          <w:sz w:val="22"/>
          <w:szCs w:val="22"/>
        </w:rPr>
        <w:t xml:space="preserve">contract (see also the general </w:t>
      </w:r>
      <w:r w:rsidRPr="005B269A">
        <w:rPr>
          <w:sz w:val="22"/>
          <w:szCs w:val="22"/>
          <w:lang w:eastAsia="da-DK" w:bidi="da-DK"/>
        </w:rPr>
        <w:t xml:space="preserve">terms </w:t>
      </w:r>
      <w:r w:rsidRPr="005B269A">
        <w:rPr>
          <w:sz w:val="22"/>
          <w:szCs w:val="22"/>
        </w:rPr>
        <w:t>and conditions in the model grant contract).</w:t>
      </w:r>
    </w:p>
    <w:p w:rsidR="005B269A" w:rsidRDefault="005B269A">
      <w:pPr>
        <w:pStyle w:val="NoSpacing"/>
        <w:jc w:val="both"/>
        <w:rPr>
          <w:sz w:val="22"/>
          <w:szCs w:val="22"/>
        </w:rPr>
      </w:pPr>
    </w:p>
    <w:p w:rsidR="005B269A" w:rsidRDefault="005B269A">
      <w:pPr>
        <w:pStyle w:val="NoSpacing"/>
        <w:jc w:val="both"/>
        <w:rPr>
          <w:sz w:val="22"/>
          <w:szCs w:val="22"/>
        </w:rPr>
      </w:pPr>
    </w:p>
    <w:p w:rsidR="005B269A" w:rsidRDefault="005B269A">
      <w:pPr>
        <w:pStyle w:val="NoSpacing"/>
        <w:jc w:val="both"/>
        <w:rPr>
          <w:sz w:val="22"/>
          <w:szCs w:val="22"/>
        </w:rPr>
      </w:pPr>
    </w:p>
    <w:p w:rsidR="005B269A" w:rsidRPr="005B269A" w:rsidRDefault="005B269A">
      <w:pPr>
        <w:pStyle w:val="NoSpacing"/>
        <w:rPr>
          <w:sz w:val="22"/>
          <w:szCs w:val="22"/>
        </w:rPr>
        <w:sectPr w:rsidR="005B269A" w:rsidRPr="005B269A" w:rsidSect="00483A63">
          <w:footerReference w:type="even" r:id="rId29"/>
          <w:footerReference w:type="default" r:id="rId30"/>
          <w:pgSz w:w="11900" w:h="16840"/>
          <w:pgMar w:top="1440" w:right="1080" w:bottom="1440" w:left="1080" w:header="0" w:footer="576" w:gutter="0"/>
          <w:cols w:space="720"/>
          <w:noEndnote/>
          <w:docGrid w:linePitch="360"/>
        </w:sectPr>
      </w:pPr>
    </w:p>
    <w:p w:rsidR="000B5BFC" w:rsidRPr="00D91DE1" w:rsidRDefault="00764274">
      <w:pPr>
        <w:pStyle w:val="Heading1"/>
        <w:jc w:val="both"/>
        <w:rPr>
          <w:rFonts w:ascii="Times New Roman" w:hAnsi="Times New Roman" w:cs="Times New Roman"/>
          <w:color w:val="auto"/>
          <w:sz w:val="24"/>
          <w:szCs w:val="24"/>
        </w:rPr>
      </w:pPr>
      <w:bookmarkStart w:id="66" w:name="bookmark35"/>
      <w:bookmarkStart w:id="67" w:name="bookmark36"/>
      <w:bookmarkStart w:id="68" w:name="_Toc5010070"/>
      <w:r w:rsidRPr="00D91DE1">
        <w:rPr>
          <w:rFonts w:ascii="Times New Roman" w:hAnsi="Times New Roman" w:cs="Times New Roman"/>
          <w:color w:val="auto"/>
          <w:sz w:val="24"/>
          <w:szCs w:val="24"/>
        </w:rPr>
        <w:lastRenderedPageBreak/>
        <w:t>3. LIST OF ANNEXES</w:t>
      </w:r>
      <w:bookmarkEnd w:id="66"/>
      <w:bookmarkEnd w:id="67"/>
      <w:bookmarkEnd w:id="68"/>
    </w:p>
    <w:p w:rsidR="00D91DE1" w:rsidRDefault="00D91DE1" w:rsidP="007C2B43">
      <w:pPr>
        <w:pStyle w:val="Heading21"/>
        <w:keepNext/>
        <w:keepLines/>
        <w:shd w:val="clear" w:color="auto" w:fill="auto"/>
        <w:spacing w:after="228" w:line="240" w:lineRule="auto"/>
        <w:ind w:firstLine="0"/>
      </w:pPr>
      <w:bookmarkStart w:id="69" w:name="bookmark37"/>
    </w:p>
    <w:p w:rsidR="000B5BFC" w:rsidRPr="00D91DE1" w:rsidRDefault="00764274" w:rsidP="009763AA">
      <w:pPr>
        <w:pStyle w:val="NoSpacing"/>
        <w:rPr>
          <w:b/>
          <w:sz w:val="22"/>
        </w:rPr>
      </w:pPr>
      <w:r w:rsidRPr="00D91DE1">
        <w:rPr>
          <w:b/>
          <w:sz w:val="22"/>
        </w:rPr>
        <w:t>NOTE THAT ALL ANNEXES MUST BE ADAPTED AS FORESEEN TO THE CALL AND PUBLISHED TOGETHER WITH THE GUIDELINES</w:t>
      </w:r>
      <w:bookmarkEnd w:id="69"/>
    </w:p>
    <w:p w:rsidR="000B5BFC" w:rsidRDefault="00D91DE1" w:rsidP="007C2B43">
      <w:pPr>
        <w:pStyle w:val="Bodytext70"/>
        <w:shd w:val="clear" w:color="auto" w:fill="auto"/>
        <w:spacing w:before="0" w:after="150" w:line="240" w:lineRule="auto"/>
      </w:pPr>
      <w:r>
        <w:rPr>
          <w:rStyle w:val="Bodytext7SmallCaps"/>
          <w:b/>
          <w:bCs/>
        </w:rPr>
        <w:t>Documents</w:t>
      </w:r>
      <w:r w:rsidR="00764274">
        <w:rPr>
          <w:rStyle w:val="Bodytext7SmallCaps"/>
          <w:b/>
          <w:bCs/>
        </w:rPr>
        <w:t xml:space="preserve"> to be completed</w:t>
      </w:r>
    </w:p>
    <w:p w:rsidR="000B5BFC" w:rsidRDefault="00764274" w:rsidP="007C2B43">
      <w:pPr>
        <w:pStyle w:val="Bodytext21"/>
        <w:shd w:val="clear" w:color="auto" w:fill="auto"/>
        <w:tabs>
          <w:tab w:val="left" w:pos="1119"/>
        </w:tabs>
        <w:spacing w:before="0" w:after="0" w:line="240" w:lineRule="auto"/>
        <w:ind w:firstLine="0"/>
      </w:pPr>
      <w:r>
        <w:t>Annex A:</w:t>
      </w:r>
      <w:r w:rsidR="00FA32C2">
        <w:tab/>
      </w:r>
      <w:r>
        <w:t>Grant application form (Word format)</w:t>
      </w:r>
    </w:p>
    <w:p w:rsidR="000B5BFC" w:rsidRDefault="00764274" w:rsidP="007C2B43">
      <w:pPr>
        <w:pStyle w:val="Bodytext21"/>
        <w:shd w:val="clear" w:color="auto" w:fill="auto"/>
        <w:tabs>
          <w:tab w:val="left" w:pos="1119"/>
        </w:tabs>
        <w:spacing w:before="0" w:after="0" w:line="240" w:lineRule="auto"/>
        <w:ind w:firstLine="0"/>
      </w:pPr>
      <w:r>
        <w:t>Annex B:</w:t>
      </w:r>
      <w:r>
        <w:tab/>
        <w:t>Budget (Excel format)</w:t>
      </w:r>
    </w:p>
    <w:p w:rsidR="000B5BFC" w:rsidRDefault="00764274" w:rsidP="007C2B43">
      <w:pPr>
        <w:pStyle w:val="Bodytext21"/>
        <w:shd w:val="clear" w:color="auto" w:fill="auto"/>
        <w:tabs>
          <w:tab w:val="left" w:pos="1119"/>
        </w:tabs>
        <w:spacing w:before="0" w:after="0" w:line="240" w:lineRule="auto"/>
        <w:ind w:firstLine="0"/>
      </w:pPr>
      <w:r>
        <w:t>Annex C:</w:t>
      </w:r>
      <w:r>
        <w:tab/>
        <w:t>Logical framework (Excel format)</w:t>
      </w:r>
    </w:p>
    <w:p w:rsidR="000B5BFC" w:rsidRDefault="00764274" w:rsidP="007C2B43">
      <w:pPr>
        <w:pStyle w:val="Bodytext21"/>
        <w:shd w:val="clear" w:color="auto" w:fill="auto"/>
        <w:tabs>
          <w:tab w:val="left" w:pos="1170"/>
        </w:tabs>
        <w:spacing w:before="0" w:after="0" w:line="240" w:lineRule="auto"/>
        <w:ind w:firstLine="0"/>
      </w:pPr>
      <w:r>
        <w:t>Annex D</w:t>
      </w:r>
      <w:r w:rsidR="00F07EDA">
        <w:t>:</w:t>
      </w:r>
      <w:r w:rsidR="00F07EDA">
        <w:tab/>
      </w:r>
      <w:r>
        <w:t>Legal entity sheet</w:t>
      </w:r>
      <w:r>
        <w:rPr>
          <w:vertAlign w:val="superscript"/>
        </w:rPr>
        <w:footnoteReference w:id="24"/>
      </w:r>
    </w:p>
    <w:p w:rsidR="000B5BFC" w:rsidRDefault="00764274" w:rsidP="007C2B43">
      <w:pPr>
        <w:pStyle w:val="Bodytext21"/>
        <w:shd w:val="clear" w:color="auto" w:fill="auto"/>
        <w:tabs>
          <w:tab w:val="left" w:pos="1119"/>
        </w:tabs>
        <w:spacing w:before="0" w:after="0" w:line="240" w:lineRule="auto"/>
        <w:ind w:firstLine="0"/>
      </w:pPr>
      <w:r>
        <w:t>Annex E:</w:t>
      </w:r>
      <w:r>
        <w:tab/>
        <w:t>Financial identification form</w:t>
      </w:r>
    </w:p>
    <w:p w:rsidR="000B5BFC" w:rsidRDefault="00764274" w:rsidP="007C2B43">
      <w:pPr>
        <w:pStyle w:val="Bodytext21"/>
        <w:shd w:val="clear" w:color="auto" w:fill="auto"/>
        <w:tabs>
          <w:tab w:val="left" w:pos="1119"/>
        </w:tabs>
        <w:spacing w:before="0" w:after="290" w:line="240" w:lineRule="auto"/>
        <w:ind w:firstLine="0"/>
      </w:pPr>
      <w:r>
        <w:t>Annex F:</w:t>
      </w:r>
      <w:r>
        <w:tab/>
        <w:t xml:space="preserve">EuropeAid offline registration form </w:t>
      </w:r>
      <w:r>
        <w:rPr>
          <w:rStyle w:val="Bodytext2Italic"/>
        </w:rPr>
        <w:t>(ONLY IF IMPOSSIBLE TO REGISTER IN PADOR)</w:t>
      </w:r>
    </w:p>
    <w:p w:rsidR="000B5BFC" w:rsidRPr="00AD0494" w:rsidRDefault="00764274" w:rsidP="009763AA">
      <w:pPr>
        <w:pStyle w:val="NoSpacing"/>
        <w:rPr>
          <w:b/>
          <w:sz w:val="22"/>
          <w:lang w:val="fr-BE"/>
        </w:rPr>
      </w:pPr>
      <w:bookmarkStart w:id="70" w:name="bookmark38"/>
      <w:r w:rsidRPr="00AD0494">
        <w:rPr>
          <w:b/>
          <w:sz w:val="22"/>
          <w:lang w:val="fr-BE"/>
        </w:rPr>
        <w:t>DOCUMENTS FOR INFORMATION</w:t>
      </w:r>
      <w:r w:rsidRPr="005F646B">
        <w:rPr>
          <w:b/>
          <w:sz w:val="22"/>
          <w:vertAlign w:val="superscript"/>
        </w:rPr>
        <w:footnoteReference w:id="25"/>
      </w:r>
      <w:bookmarkEnd w:id="70"/>
    </w:p>
    <w:p w:rsidR="00871C17" w:rsidRPr="00AD0494" w:rsidRDefault="00871C17" w:rsidP="009763AA">
      <w:pPr>
        <w:rPr>
          <w:lang w:val="fr-BE"/>
        </w:rPr>
      </w:pPr>
    </w:p>
    <w:p w:rsidR="000B5BFC" w:rsidRPr="008C4262" w:rsidRDefault="00764274" w:rsidP="009763AA">
      <w:r w:rsidRPr="008C4262">
        <w:t>Annex G:</w:t>
      </w:r>
      <w:r w:rsidRPr="008C4262">
        <w:tab/>
        <w:t>Standard grant</w:t>
      </w:r>
      <w:r w:rsidR="00D97329" w:rsidRPr="008C4262">
        <w:t xml:space="preserve"> </w:t>
      </w:r>
      <w:r w:rsidRPr="008C4262">
        <w:t>contract</w:t>
      </w:r>
    </w:p>
    <w:p w:rsidR="00EA738E" w:rsidRPr="008C4262" w:rsidRDefault="00EA738E" w:rsidP="001A23A8"/>
    <w:p w:rsidR="000B5BFC" w:rsidRPr="00F07EDA" w:rsidRDefault="00F07EDA" w:rsidP="00480E34">
      <w:pPr>
        <w:ind w:firstLine="720"/>
      </w:pPr>
      <w:r>
        <w:t>-</w:t>
      </w:r>
      <w:r w:rsidR="00764274" w:rsidRPr="00F07EDA">
        <w:t>Annex II:</w:t>
      </w:r>
      <w:r w:rsidR="00A90C1B">
        <w:tab/>
      </w:r>
      <w:r w:rsidR="00764274" w:rsidRPr="00F07EDA">
        <w:t>general conditions</w:t>
      </w:r>
    </w:p>
    <w:p w:rsidR="000B5BFC" w:rsidRPr="00F07EDA" w:rsidRDefault="00F07EDA" w:rsidP="00480E34">
      <w:pPr>
        <w:ind w:firstLine="720"/>
      </w:pPr>
      <w:r>
        <w:t>-</w:t>
      </w:r>
      <w:r w:rsidR="00764274" w:rsidRPr="00F07EDA">
        <w:t>Annex IV</w:t>
      </w:r>
      <w:r w:rsidR="00A90C1B">
        <w:t>:</w:t>
      </w:r>
      <w:r w:rsidR="00A90C1B">
        <w:tab/>
      </w:r>
      <w:r w:rsidR="00764274" w:rsidRPr="00F07EDA">
        <w:t>contract award rules</w:t>
      </w:r>
    </w:p>
    <w:p w:rsidR="000B5BFC" w:rsidRPr="00F07EDA" w:rsidRDefault="00F07EDA">
      <w:pPr>
        <w:ind w:firstLine="720"/>
      </w:pPr>
      <w:r>
        <w:t>-</w:t>
      </w:r>
      <w:r w:rsidR="00764274" w:rsidRPr="00F07EDA">
        <w:t>Annex V</w:t>
      </w:r>
      <w:r w:rsidR="00A90C1B">
        <w:t>:</w:t>
      </w:r>
      <w:r w:rsidR="00764274" w:rsidRPr="00F07EDA">
        <w:tab/>
        <w:t>standard request for payment</w:t>
      </w:r>
    </w:p>
    <w:p w:rsidR="000B5BFC" w:rsidRPr="00F07EDA" w:rsidRDefault="00F07EDA">
      <w:pPr>
        <w:ind w:firstLine="720"/>
      </w:pPr>
      <w:r>
        <w:t>-</w:t>
      </w:r>
      <w:r w:rsidR="00764274" w:rsidRPr="00F07EDA">
        <w:t>Annex VI:</w:t>
      </w:r>
      <w:r w:rsidR="00A90C1B">
        <w:tab/>
      </w:r>
      <w:r w:rsidR="00764274" w:rsidRPr="00F07EDA">
        <w:t>model narrative and financial report</w:t>
      </w:r>
    </w:p>
    <w:p w:rsidR="000B5BFC" w:rsidRPr="00F07EDA" w:rsidRDefault="00A90C1B">
      <w:pPr>
        <w:ind w:left="2160" w:hanging="1440"/>
      </w:pPr>
      <w:r>
        <w:t>-</w:t>
      </w:r>
      <w:r w:rsidR="00764274" w:rsidRPr="00F07EDA">
        <w:t>Annex VII:</w:t>
      </w:r>
      <w:r>
        <w:tab/>
      </w:r>
      <w:r w:rsidR="00764274" w:rsidRPr="00F07EDA">
        <w:t>model report of factual findings and terms of reference for an expenditure verification of an EU financed grant contract for external action</w:t>
      </w:r>
    </w:p>
    <w:p w:rsidR="000B5BFC" w:rsidRPr="00F07EDA" w:rsidRDefault="00A90C1B">
      <w:pPr>
        <w:ind w:firstLine="720"/>
      </w:pPr>
      <w:r>
        <w:t>-</w:t>
      </w:r>
      <w:r w:rsidR="00764274" w:rsidRPr="00F07EDA">
        <w:t>Annex VIII:</w:t>
      </w:r>
      <w:r>
        <w:tab/>
      </w:r>
      <w:r w:rsidR="00764274" w:rsidRPr="00F07EDA">
        <w:t>model financial guarantee</w:t>
      </w:r>
    </w:p>
    <w:p w:rsidR="000B5BFC" w:rsidRDefault="00A90C1B">
      <w:pPr>
        <w:ind w:firstLine="720"/>
      </w:pPr>
      <w:r>
        <w:t>-</w:t>
      </w:r>
      <w:r w:rsidR="00764274" w:rsidRPr="00F07EDA">
        <w:t>Annex IX:</w:t>
      </w:r>
      <w:r>
        <w:tab/>
      </w:r>
      <w:r w:rsidR="00764274" w:rsidRPr="00F07EDA">
        <w:t>standard template for transfer of ownership of assets</w:t>
      </w:r>
    </w:p>
    <w:p w:rsidR="00A90C1B" w:rsidRPr="00F07EDA" w:rsidRDefault="00A90C1B">
      <w:pPr>
        <w:ind w:firstLine="720"/>
      </w:pPr>
    </w:p>
    <w:p w:rsidR="000B5BFC" w:rsidRPr="00F07EDA" w:rsidRDefault="00764274">
      <w:r w:rsidRPr="00F07EDA">
        <w:t>Annex H:</w:t>
      </w:r>
      <w:r w:rsidRPr="00F07EDA">
        <w:tab/>
        <w:t>Daily allowance rates (per diem), available at the following address:</w:t>
      </w:r>
    </w:p>
    <w:p w:rsidR="000B5BFC" w:rsidRPr="00F07EDA" w:rsidRDefault="006A0C0F">
      <w:hyperlink r:id="rId31" w:history="1">
        <w:r w:rsidR="00764274" w:rsidRPr="00F07EDA">
          <w:rPr>
            <w:rStyle w:val="Hyperlink"/>
          </w:rPr>
          <w:t>http://ec.europa.eu/europeaid/funding/about-procurement-contracts/procedures-and-practical-</w:t>
        </w:r>
      </w:hyperlink>
    </w:p>
    <w:p w:rsidR="000B5BFC" w:rsidRDefault="006A0C0F">
      <w:hyperlink r:id="rId32" w:history="1">
        <w:r w:rsidR="00764274" w:rsidRPr="00F07EDA">
          <w:rPr>
            <w:rStyle w:val="Hyperlink"/>
          </w:rPr>
          <w:t>guide-</w:t>
        </w:r>
        <w:proofErr w:type="spellStart"/>
        <w:r w:rsidR="00764274" w:rsidRPr="00F07EDA">
          <w:rPr>
            <w:rStyle w:val="Hyperlink"/>
          </w:rPr>
          <w:t>prag</w:t>
        </w:r>
        <w:proofErr w:type="spellEnd"/>
        <w:r w:rsidR="00764274" w:rsidRPr="00F07EDA">
          <w:rPr>
            <w:rStyle w:val="Hyperlink"/>
          </w:rPr>
          <w:t xml:space="preserve">/diems </w:t>
        </w:r>
        <w:proofErr w:type="spellStart"/>
        <w:r w:rsidR="00764274" w:rsidRPr="00F07EDA">
          <w:rPr>
            <w:rStyle w:val="Hyperlink"/>
          </w:rPr>
          <w:t>en</w:t>
        </w:r>
        <w:proofErr w:type="spellEnd"/>
      </w:hyperlink>
    </w:p>
    <w:p w:rsidR="00EA738E" w:rsidRPr="00F07EDA" w:rsidRDefault="00EA738E"/>
    <w:p w:rsidR="000B5BFC" w:rsidRDefault="00764274" w:rsidP="007C2B43">
      <w:pPr>
        <w:pStyle w:val="Bodytext21"/>
        <w:shd w:val="clear" w:color="auto" w:fill="auto"/>
        <w:tabs>
          <w:tab w:val="left" w:pos="1119"/>
        </w:tabs>
        <w:spacing w:before="0" w:after="120" w:line="240" w:lineRule="auto"/>
        <w:ind w:firstLine="0"/>
      </w:pPr>
      <w:r>
        <w:t>Annex J:</w:t>
      </w:r>
      <w:r>
        <w:tab/>
        <w:t>Information on the tax regime applicable to grant contracts signed under the call.</w:t>
      </w:r>
    </w:p>
    <w:p w:rsidR="000B5BFC" w:rsidRDefault="00764274" w:rsidP="007C2B43">
      <w:pPr>
        <w:pStyle w:val="Bodytext21"/>
        <w:shd w:val="clear" w:color="auto" w:fill="auto"/>
        <w:tabs>
          <w:tab w:val="left" w:pos="1119"/>
        </w:tabs>
        <w:spacing w:before="0" w:after="500" w:line="240" w:lineRule="auto"/>
        <w:ind w:firstLine="0"/>
      </w:pPr>
      <w:r>
        <w:t>Annex K:</w:t>
      </w:r>
      <w:r>
        <w:tab/>
        <w:t>Guidelines and checklist for assessing budget and simplified cost options.</w:t>
      </w:r>
    </w:p>
    <w:p w:rsidR="000B5BFC" w:rsidRPr="009A27A2" w:rsidRDefault="00764274" w:rsidP="009763AA">
      <w:pPr>
        <w:pStyle w:val="NoSpacing"/>
        <w:rPr>
          <w:b/>
          <w:sz w:val="22"/>
        </w:rPr>
      </w:pPr>
      <w:bookmarkStart w:id="71" w:name="bookmark39"/>
      <w:r w:rsidRPr="009A27A2">
        <w:rPr>
          <w:b/>
          <w:sz w:val="22"/>
        </w:rPr>
        <w:t>Useful links:</w:t>
      </w:r>
      <w:bookmarkEnd w:id="71"/>
    </w:p>
    <w:p w:rsidR="000B5BFC" w:rsidRPr="009A27A2" w:rsidRDefault="00764274" w:rsidP="009763AA">
      <w:pPr>
        <w:pStyle w:val="NoSpacing"/>
        <w:rPr>
          <w:b/>
          <w:sz w:val="22"/>
        </w:rPr>
      </w:pPr>
      <w:bookmarkStart w:id="72" w:name="bookmark40"/>
      <w:r w:rsidRPr="009A27A2">
        <w:rPr>
          <w:b/>
          <w:sz w:val="22"/>
        </w:rPr>
        <w:t>Project Cycle Management Guidelines</w:t>
      </w:r>
      <w:bookmarkEnd w:id="72"/>
    </w:p>
    <w:p w:rsidR="000B5BFC" w:rsidRDefault="006A0C0F" w:rsidP="007C2B43">
      <w:pPr>
        <w:pStyle w:val="Bodytext21"/>
        <w:shd w:val="clear" w:color="auto" w:fill="auto"/>
        <w:spacing w:before="0" w:after="116" w:line="240" w:lineRule="auto"/>
        <w:ind w:firstLine="0"/>
      </w:pPr>
      <w:hyperlink r:id="rId33" w:history="1">
        <w:r w:rsidR="00764274">
          <w:rPr>
            <w:rStyle w:val="Bodytext24"/>
          </w:rPr>
          <w:t xml:space="preserve">http://ec.europa.eu/europeaid/aid-deliverv-methods-proiect-cycle-management-guidelines-vol-1 </w:t>
        </w:r>
        <w:proofErr w:type="spellStart"/>
        <w:r w:rsidR="00764274" w:rsidRPr="007869AD">
          <w:rPr>
            <w:rStyle w:val="Bodytext24"/>
            <w:lang w:val="en-GB" w:eastAsia="fr-FR" w:bidi="fr-FR"/>
          </w:rPr>
          <w:t>en</w:t>
        </w:r>
        <w:proofErr w:type="spellEnd"/>
      </w:hyperlink>
    </w:p>
    <w:p w:rsidR="000B5BFC" w:rsidRPr="009A27A2" w:rsidRDefault="00764274" w:rsidP="009763AA">
      <w:pPr>
        <w:pStyle w:val="NoSpacing"/>
        <w:rPr>
          <w:b/>
          <w:sz w:val="22"/>
        </w:rPr>
      </w:pPr>
      <w:bookmarkStart w:id="73" w:name="bookmark41"/>
      <w:r w:rsidRPr="009A27A2">
        <w:rPr>
          <w:b/>
          <w:sz w:val="22"/>
          <w:lang w:eastAsia="fr-FR" w:bidi="fr-FR"/>
        </w:rPr>
        <w:t>The implementation of grant contracts</w:t>
      </w:r>
      <w:r w:rsidR="00FA32C2" w:rsidRPr="009A27A2">
        <w:rPr>
          <w:b/>
          <w:sz w:val="22"/>
          <w:lang w:eastAsia="fr-FR" w:bidi="fr-FR"/>
        </w:rPr>
        <w:t xml:space="preserve">: </w:t>
      </w:r>
      <w:r w:rsidRPr="009A27A2">
        <w:rPr>
          <w:b/>
          <w:sz w:val="22"/>
          <w:lang w:eastAsia="fr-FR" w:bidi="fr-FR"/>
        </w:rPr>
        <w:t>A Users' Guide</w:t>
      </w:r>
      <w:bookmarkEnd w:id="73"/>
    </w:p>
    <w:p w:rsidR="000B5BFC" w:rsidRDefault="006A0C0F" w:rsidP="007C2B43">
      <w:pPr>
        <w:pStyle w:val="Bodytext21"/>
        <w:shd w:val="clear" w:color="auto" w:fill="auto"/>
        <w:spacing w:before="0" w:after="212" w:line="240" w:lineRule="auto"/>
        <w:ind w:firstLine="0"/>
      </w:pPr>
      <w:hyperlink r:id="rId34" w:history="1">
        <w:r w:rsidR="00764274">
          <w:rPr>
            <w:rStyle w:val="Bodytext24"/>
          </w:rPr>
          <w:t>http://ec.europa.eu/europeaid/companion/document.do?nodeNumber=19&amp;locale=en</w:t>
        </w:r>
      </w:hyperlink>
    </w:p>
    <w:p w:rsidR="000B5BFC" w:rsidRPr="004B7812" w:rsidRDefault="00764274" w:rsidP="009763AA">
      <w:pPr>
        <w:pStyle w:val="NoSpacing"/>
        <w:rPr>
          <w:b/>
          <w:sz w:val="22"/>
          <w:lang w:val="es-ES"/>
        </w:rPr>
      </w:pPr>
      <w:bookmarkStart w:id="74" w:name="bookmark42"/>
      <w:r w:rsidRPr="004B7812">
        <w:rPr>
          <w:b/>
          <w:sz w:val="22"/>
          <w:lang w:val="es-ES"/>
        </w:rPr>
        <w:t>Financial</w:t>
      </w:r>
      <w:r w:rsidR="00D97329" w:rsidRPr="004B7812">
        <w:rPr>
          <w:b/>
          <w:sz w:val="22"/>
          <w:lang w:val="es-ES"/>
        </w:rPr>
        <w:t xml:space="preserve"> </w:t>
      </w:r>
      <w:r w:rsidRPr="004B7812">
        <w:rPr>
          <w:b/>
          <w:sz w:val="22"/>
          <w:lang w:val="es-ES"/>
        </w:rPr>
        <w:t>Toolkit</w:t>
      </w:r>
      <w:bookmarkEnd w:id="74"/>
    </w:p>
    <w:p w:rsidR="000B5BFC" w:rsidRPr="004B7812" w:rsidRDefault="006A0C0F" w:rsidP="007C2B43">
      <w:pPr>
        <w:pStyle w:val="Bodytext21"/>
        <w:shd w:val="clear" w:color="auto" w:fill="auto"/>
        <w:spacing w:before="0" w:after="0" w:line="240" w:lineRule="auto"/>
        <w:ind w:firstLine="0"/>
        <w:rPr>
          <w:lang w:val="es-ES"/>
        </w:rPr>
      </w:pPr>
      <w:hyperlink r:id="rId35" w:history="1">
        <w:r w:rsidR="00764274" w:rsidRPr="004B7812">
          <w:rPr>
            <w:rStyle w:val="Bodytext24"/>
            <w:lang w:val="es-ES"/>
          </w:rPr>
          <w:t>http://ec.europa.eu/europeaid/funding/procedures-beneficiary-countries-and-partners/financial-management-</w:t>
        </w:r>
      </w:hyperlink>
    </w:p>
    <w:p w:rsidR="000B5BFC" w:rsidRPr="008C4262" w:rsidRDefault="006A0C0F" w:rsidP="007C2B43">
      <w:pPr>
        <w:pStyle w:val="Bodytext21"/>
        <w:shd w:val="clear" w:color="auto" w:fill="auto"/>
        <w:spacing w:before="0" w:after="124" w:line="240" w:lineRule="auto"/>
        <w:ind w:firstLine="0"/>
      </w:pPr>
      <w:hyperlink r:id="rId36" w:history="1">
        <w:r w:rsidR="00764274" w:rsidRPr="008C4262">
          <w:rPr>
            <w:rStyle w:val="Bodytext27"/>
            <w:lang w:val="en-GB"/>
          </w:rPr>
          <w:t xml:space="preserve">toolkit </w:t>
        </w:r>
        <w:proofErr w:type="spellStart"/>
        <w:r w:rsidR="00764274" w:rsidRPr="008C4262">
          <w:rPr>
            <w:rStyle w:val="Bodytext27"/>
            <w:lang w:val="en-GB" w:eastAsia="fr-FR" w:bidi="fr-FR"/>
          </w:rPr>
          <w:t>en</w:t>
        </w:r>
        <w:proofErr w:type="spellEnd"/>
      </w:hyperlink>
    </w:p>
    <w:p w:rsidR="000B5BFC" w:rsidRDefault="00764274" w:rsidP="007C2B43">
      <w:pPr>
        <w:pStyle w:val="Bodytext21"/>
        <w:shd w:val="clear" w:color="auto" w:fill="auto"/>
        <w:spacing w:before="0" w:after="0" w:line="240" w:lineRule="auto"/>
        <w:ind w:firstLine="0"/>
      </w:pPr>
      <w:r>
        <w:t xml:space="preserve">Please note: The toolkit is not part of the grant contract and has no legal value. It merely provides general guidance and may in some </w:t>
      </w:r>
      <w:r w:rsidRPr="00DE3E46">
        <w:rPr>
          <w:lang w:eastAsia="da-DK" w:bidi="da-DK"/>
        </w:rPr>
        <w:t xml:space="preserve">details </w:t>
      </w:r>
      <w:r>
        <w:t xml:space="preserve">differ </w:t>
      </w:r>
      <w:r w:rsidRPr="00DE3E46">
        <w:rPr>
          <w:lang w:eastAsia="da-DK" w:bidi="da-DK"/>
        </w:rPr>
        <w:t xml:space="preserve">from </w:t>
      </w:r>
      <w:r>
        <w:t>the signed grant contract. In order to ensure compliance with their contractual obligations beneficiaries should not exclusively rely on the toolkit but always consult their individual contract documents.</w:t>
      </w:r>
    </w:p>
    <w:sectPr w:rsidR="000B5BFC" w:rsidSect="00483A63">
      <w:pgSz w:w="11900" w:h="16840"/>
      <w:pgMar w:top="1037" w:right="1065" w:bottom="1440" w:left="1053" w:header="0"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C0F" w:rsidRDefault="006A0C0F">
      <w:r>
        <w:separator/>
      </w:r>
    </w:p>
  </w:endnote>
  <w:endnote w:type="continuationSeparator" w:id="0">
    <w:p w:rsidR="006A0C0F" w:rsidRDefault="006A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yala">
    <w:altName w:val="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EA" w:rsidRDefault="001B12EA">
    <w:pPr>
      <w:pStyle w:val="Footer"/>
      <w:rPr>
        <w:sz w:val="20"/>
        <w:szCs w:val="20"/>
      </w:rPr>
    </w:pPr>
    <w:bookmarkStart w:id="65" w:name="_Hlk536541475"/>
    <w:r w:rsidRPr="00D33C21">
      <w:rPr>
        <w:sz w:val="20"/>
        <w:szCs w:val="20"/>
        <w:highlight w:val="yellow"/>
      </w:rPr>
      <w:t>EuropeAid/call ref/restricted/</w:t>
    </w:r>
    <w:proofErr w:type="spellStart"/>
    <w:r w:rsidRPr="00D33C21">
      <w:rPr>
        <w:sz w:val="20"/>
        <w:szCs w:val="20"/>
        <w:highlight w:val="yellow"/>
      </w:rPr>
      <w:t>geozonecode</w:t>
    </w:r>
    <w:proofErr w:type="spellEnd"/>
    <w:r w:rsidRPr="00D33C21">
      <w:rPr>
        <w:sz w:val="20"/>
        <w:szCs w:val="20"/>
        <w:highlight w:val="yellow"/>
      </w:rPr>
      <w:t>, etc</w:t>
    </w:r>
  </w:p>
  <w:p w:rsidR="001B12EA" w:rsidRPr="00D33C21" w:rsidRDefault="001B12EA">
    <w:pPr>
      <w:pStyle w:val="Footer"/>
      <w:rPr>
        <w:sz w:val="20"/>
        <w:szCs w:val="20"/>
      </w:rPr>
    </w:pPr>
    <w:r>
      <w:rPr>
        <w:sz w:val="20"/>
        <w:szCs w:val="20"/>
      </w:rPr>
      <w:t>02 August 2018 Guidelines for grant applicant restricted.rtf</w:t>
    </w:r>
    <w:bookmarkEnd w:id="65"/>
  </w:p>
  <w:p w:rsidR="001B12EA" w:rsidRDefault="001B12E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371142875"/>
      <w:docPartObj>
        <w:docPartGallery w:val="Page Numbers (Bottom of Page)"/>
        <w:docPartUnique/>
      </w:docPartObj>
    </w:sdtPr>
    <w:sdtEndPr/>
    <w:sdtContent>
      <w:sdt>
        <w:sdtPr>
          <w:rPr>
            <w:sz w:val="22"/>
            <w:szCs w:val="22"/>
          </w:rPr>
          <w:id w:val="-1770227555"/>
          <w:docPartObj>
            <w:docPartGallery w:val="Page Numbers (Top of Page)"/>
            <w:docPartUnique/>
          </w:docPartObj>
        </w:sdtPr>
        <w:sdtEndPr/>
        <w:sdtContent>
          <w:p w:rsidR="001B12EA" w:rsidRPr="00483A63" w:rsidRDefault="001B12EA">
            <w:pPr>
              <w:pStyle w:val="Footer"/>
              <w:jc w:val="right"/>
              <w:rPr>
                <w:sz w:val="22"/>
                <w:szCs w:val="22"/>
              </w:rPr>
            </w:pPr>
            <w:r w:rsidRPr="00483A63">
              <w:rPr>
                <w:sz w:val="22"/>
                <w:szCs w:val="22"/>
              </w:rPr>
              <w:t xml:space="preserve">Page </w:t>
            </w:r>
            <w:r w:rsidRPr="00483A63">
              <w:rPr>
                <w:b/>
                <w:bCs/>
                <w:sz w:val="22"/>
                <w:szCs w:val="22"/>
              </w:rPr>
              <w:fldChar w:fldCharType="begin"/>
            </w:r>
            <w:r w:rsidRPr="00483A63">
              <w:rPr>
                <w:b/>
                <w:bCs/>
                <w:sz w:val="22"/>
                <w:szCs w:val="22"/>
              </w:rPr>
              <w:instrText xml:space="preserve"> PAGE </w:instrText>
            </w:r>
            <w:r w:rsidRPr="00483A63">
              <w:rPr>
                <w:b/>
                <w:bCs/>
                <w:sz w:val="22"/>
                <w:szCs w:val="22"/>
              </w:rPr>
              <w:fldChar w:fldCharType="separate"/>
            </w:r>
            <w:r w:rsidR="008C4262">
              <w:rPr>
                <w:b/>
                <w:bCs/>
                <w:noProof/>
                <w:sz w:val="22"/>
                <w:szCs w:val="22"/>
              </w:rPr>
              <w:t>34</w:t>
            </w:r>
            <w:r w:rsidRPr="00483A63">
              <w:rPr>
                <w:b/>
                <w:bCs/>
                <w:sz w:val="22"/>
                <w:szCs w:val="22"/>
              </w:rPr>
              <w:fldChar w:fldCharType="end"/>
            </w:r>
            <w:r w:rsidRPr="00483A63">
              <w:rPr>
                <w:sz w:val="22"/>
                <w:szCs w:val="22"/>
              </w:rPr>
              <w:t xml:space="preserve"> of </w:t>
            </w:r>
            <w:r w:rsidRPr="00483A63">
              <w:rPr>
                <w:b/>
                <w:bCs/>
                <w:sz w:val="22"/>
                <w:szCs w:val="22"/>
              </w:rPr>
              <w:fldChar w:fldCharType="begin"/>
            </w:r>
            <w:r w:rsidRPr="00483A63">
              <w:rPr>
                <w:b/>
                <w:bCs/>
                <w:sz w:val="22"/>
                <w:szCs w:val="22"/>
              </w:rPr>
              <w:instrText xml:space="preserve"> NUMPAGES  </w:instrText>
            </w:r>
            <w:r w:rsidRPr="00483A63">
              <w:rPr>
                <w:b/>
                <w:bCs/>
                <w:sz w:val="22"/>
                <w:szCs w:val="22"/>
              </w:rPr>
              <w:fldChar w:fldCharType="separate"/>
            </w:r>
            <w:r w:rsidR="008C4262">
              <w:rPr>
                <w:b/>
                <w:bCs/>
                <w:noProof/>
                <w:sz w:val="22"/>
                <w:szCs w:val="22"/>
              </w:rPr>
              <w:t>35</w:t>
            </w:r>
            <w:r w:rsidRPr="00483A63">
              <w:rPr>
                <w:b/>
                <w:bCs/>
                <w:sz w:val="22"/>
                <w:szCs w:val="22"/>
              </w:rPr>
              <w:fldChar w:fldCharType="end"/>
            </w:r>
          </w:p>
        </w:sdtContent>
      </w:sdt>
    </w:sdtContent>
  </w:sdt>
  <w:p w:rsidR="001B12EA" w:rsidRDefault="001B12E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C0F" w:rsidRDefault="006A0C0F">
      <w:r>
        <w:separator/>
      </w:r>
    </w:p>
  </w:footnote>
  <w:footnote w:type="continuationSeparator" w:id="0">
    <w:p w:rsidR="006A0C0F" w:rsidRDefault="006A0C0F">
      <w:r>
        <w:continuationSeparator/>
      </w:r>
    </w:p>
  </w:footnote>
  <w:footnote w:id="1">
    <w:p w:rsidR="001B12EA" w:rsidRPr="00A85BF5" w:rsidRDefault="001B12EA">
      <w:pPr>
        <w:pStyle w:val="FootnoteText"/>
        <w:rPr>
          <w:sz w:val="18"/>
          <w:szCs w:val="18"/>
        </w:rPr>
      </w:pPr>
      <w:r w:rsidRPr="00A85BF5">
        <w:rPr>
          <w:rStyle w:val="FootnoteReference"/>
          <w:sz w:val="18"/>
          <w:szCs w:val="18"/>
        </w:rPr>
        <w:footnoteRef/>
      </w:r>
      <w:r w:rsidRPr="00A85BF5">
        <w:rPr>
          <w:sz w:val="18"/>
          <w:szCs w:val="18"/>
        </w:rPr>
        <w:t xml:space="preserve"> Any reference to European Union financing also refers to European Development Fund grants where applicable.</w:t>
      </w:r>
    </w:p>
  </w:footnote>
  <w:footnote w:id="2">
    <w:p w:rsidR="001B12EA" w:rsidRPr="00A85BF5" w:rsidRDefault="001B12EA" w:rsidP="00A85BF5">
      <w:pPr>
        <w:pStyle w:val="Footnote21"/>
        <w:shd w:val="clear" w:color="auto" w:fill="auto"/>
        <w:tabs>
          <w:tab w:val="left" w:pos="139"/>
        </w:tabs>
        <w:spacing w:line="230" w:lineRule="exact"/>
        <w:ind w:left="90" w:hanging="90"/>
        <w:rPr>
          <w:sz w:val="18"/>
          <w:szCs w:val="18"/>
        </w:rPr>
      </w:pPr>
      <w:r w:rsidRPr="00A85BF5">
        <w:rPr>
          <w:sz w:val="18"/>
          <w:szCs w:val="18"/>
          <w:vertAlign w:val="superscript"/>
        </w:rPr>
        <w:footnoteRef/>
      </w:r>
      <w:r w:rsidRPr="00A85BF5">
        <w:rPr>
          <w:sz w:val="18"/>
          <w:szCs w:val="18"/>
        </w:rPr>
        <w:tab/>
        <w:t>Online submission via PROSPECT is mandatory for this call for proposals (see Section 2.2.2). In PROSPECT all dates and times are expressed in Brussels time. Applicants should note that the IT support is open Monday to Friday from 08:30 to 18:30 Brussels time (except for public holidays). Applicants should take note of the weekly maintenance hours mentioned in the PROSPECT user manual.</w:t>
      </w:r>
    </w:p>
  </w:footnote>
  <w:footnote w:id="3">
    <w:p w:rsidR="001B12EA" w:rsidRPr="00A85BF5" w:rsidRDefault="001B12EA" w:rsidP="00550A25">
      <w:pPr>
        <w:pStyle w:val="Footnote21"/>
        <w:shd w:val="clear" w:color="auto" w:fill="auto"/>
        <w:ind w:firstLine="0"/>
        <w:jc w:val="left"/>
        <w:rPr>
          <w:sz w:val="18"/>
          <w:szCs w:val="18"/>
        </w:rPr>
      </w:pPr>
      <w:r w:rsidRPr="00A85BF5">
        <w:rPr>
          <w:sz w:val="18"/>
          <w:szCs w:val="18"/>
          <w:vertAlign w:val="superscript"/>
        </w:rPr>
        <w:footnoteRef/>
      </w:r>
      <w:r w:rsidRPr="00A85BF5">
        <w:rPr>
          <w:sz w:val="18"/>
          <w:szCs w:val="18"/>
        </w:rPr>
        <w:t>An example of a time converter tool available online:</w:t>
      </w:r>
      <w:hyperlink r:id="rId1" w:history="1">
        <w:r w:rsidRPr="00A85BF5">
          <w:rPr>
            <w:rStyle w:val="Footnote20"/>
            <w:sz w:val="18"/>
            <w:szCs w:val="18"/>
          </w:rPr>
          <w:t>http://www.timeanddate.com/worldclock/converter.html</w:t>
        </w:r>
      </w:hyperlink>
    </w:p>
  </w:footnote>
  <w:footnote w:id="4">
    <w:p w:rsidR="001B12EA" w:rsidRPr="00A85BF5" w:rsidRDefault="001B12EA">
      <w:pPr>
        <w:pStyle w:val="FootnoteText"/>
        <w:rPr>
          <w:sz w:val="18"/>
          <w:szCs w:val="18"/>
        </w:rPr>
      </w:pPr>
      <w:r w:rsidRPr="00A85BF5">
        <w:rPr>
          <w:rStyle w:val="FootnoteReference"/>
          <w:sz w:val="18"/>
          <w:szCs w:val="18"/>
        </w:rPr>
        <w:footnoteRef/>
      </w:r>
      <w:r w:rsidRPr="00A85BF5">
        <w:rPr>
          <w:sz w:val="18"/>
          <w:szCs w:val="18"/>
        </w:rPr>
        <w:t xml:space="preserve"> If PROSPECT is unavailable, the IT support can also be reached via email: EuropeAid-IT-support@ec.europa.eu</w:t>
      </w:r>
    </w:p>
  </w:footnote>
  <w:footnote w:id="5">
    <w:p w:rsidR="001B12EA" w:rsidRPr="00082DB0" w:rsidRDefault="001B12EA" w:rsidP="00207975">
      <w:pPr>
        <w:autoSpaceDE w:val="0"/>
        <w:autoSpaceDN w:val="0"/>
        <w:adjustRightInd w:val="0"/>
        <w:jc w:val="both"/>
        <w:rPr>
          <w:rFonts w:asciiTheme="minorHAnsi" w:hAnsiTheme="minorHAnsi" w:cstheme="minorHAnsi"/>
          <w:sz w:val="18"/>
          <w:szCs w:val="18"/>
          <w:lang w:val="en-ZW"/>
        </w:rPr>
      </w:pPr>
      <w:r w:rsidRPr="00082DB0">
        <w:rPr>
          <w:rStyle w:val="FootnoteReference"/>
          <w:rFonts w:asciiTheme="minorHAnsi" w:hAnsiTheme="minorHAnsi" w:cstheme="minorHAnsi"/>
          <w:sz w:val="18"/>
          <w:szCs w:val="18"/>
        </w:rPr>
        <w:footnoteRef/>
      </w:r>
      <w:r w:rsidRPr="00082DB0">
        <w:rPr>
          <w:rFonts w:asciiTheme="minorHAnsi" w:hAnsiTheme="minorHAnsi" w:cstheme="minorHAnsi"/>
          <w:sz w:val="18"/>
          <w:szCs w:val="18"/>
        </w:rPr>
        <w:t xml:space="preserve"> Phase III of the Civil Society Fund (CSF III) is financed under the 11</w:t>
      </w:r>
      <w:r w:rsidRPr="00082DB0">
        <w:rPr>
          <w:rFonts w:asciiTheme="minorHAnsi" w:hAnsiTheme="minorHAnsi" w:cstheme="minorHAnsi"/>
          <w:sz w:val="18"/>
          <w:szCs w:val="18"/>
          <w:vertAlign w:val="superscript"/>
        </w:rPr>
        <w:t>th</w:t>
      </w:r>
      <w:r w:rsidRPr="00082DB0">
        <w:rPr>
          <w:rFonts w:asciiTheme="minorHAnsi" w:hAnsiTheme="minorHAnsi" w:cstheme="minorHAnsi"/>
          <w:sz w:val="18"/>
          <w:szCs w:val="18"/>
        </w:rPr>
        <w:t xml:space="preserve"> European Development Fund.</w:t>
      </w:r>
    </w:p>
  </w:footnote>
  <w:footnote w:id="6">
    <w:p w:rsidR="001B12EA" w:rsidRPr="001B12EA" w:rsidRDefault="001B12EA">
      <w:pPr>
        <w:pStyle w:val="Footnote31"/>
        <w:shd w:val="clear" w:color="auto" w:fill="auto"/>
        <w:tabs>
          <w:tab w:val="left" w:pos="134"/>
        </w:tabs>
        <w:spacing w:line="230" w:lineRule="exact"/>
        <w:jc w:val="both"/>
        <w:rPr>
          <w:rFonts w:ascii="Calibri" w:hAnsi="Calibri"/>
          <w:sz w:val="18"/>
          <w:szCs w:val="18"/>
        </w:rPr>
      </w:pPr>
      <w:r w:rsidRPr="001B12EA">
        <w:rPr>
          <w:rFonts w:ascii="Calibri" w:hAnsi="Calibri"/>
          <w:sz w:val="18"/>
          <w:szCs w:val="18"/>
          <w:vertAlign w:val="superscript"/>
        </w:rPr>
        <w:footnoteRef/>
      </w:r>
      <w:r w:rsidRPr="001B12EA">
        <w:rPr>
          <w:rFonts w:ascii="Calibri" w:hAnsi="Calibri"/>
          <w:sz w:val="18"/>
          <w:szCs w:val="18"/>
        </w:rPr>
        <w:tab/>
        <w:t>Where a grant is financed by the European Development Fund, any mention of European Union financing must be understood as referring to European Development Fund financing.</w:t>
      </w:r>
    </w:p>
  </w:footnote>
  <w:footnote w:id="7">
    <w:p w:rsidR="001B12EA" w:rsidRPr="001B12EA" w:rsidRDefault="001B12EA" w:rsidP="004043A8">
      <w:pPr>
        <w:pStyle w:val="Bodytext90"/>
        <w:shd w:val="clear" w:color="auto" w:fill="auto"/>
        <w:tabs>
          <w:tab w:val="left" w:pos="261"/>
        </w:tabs>
        <w:spacing w:before="0"/>
        <w:rPr>
          <w:rFonts w:asciiTheme="minorHAnsi" w:hAnsiTheme="minorHAnsi"/>
          <w:sz w:val="18"/>
          <w:szCs w:val="18"/>
        </w:rPr>
      </w:pPr>
      <w:r w:rsidRPr="001B12EA">
        <w:rPr>
          <w:rStyle w:val="FootnoteReference"/>
          <w:rFonts w:asciiTheme="minorHAnsi" w:hAnsiTheme="minorHAnsi"/>
          <w:sz w:val="18"/>
          <w:szCs w:val="18"/>
        </w:rPr>
        <w:footnoteRef/>
      </w:r>
      <w:r w:rsidRPr="001B12EA">
        <w:rPr>
          <w:rFonts w:asciiTheme="minorHAnsi" w:hAnsiTheme="minorHAnsi"/>
          <w:sz w:val="18"/>
          <w:szCs w:val="18"/>
        </w:rPr>
        <w:t xml:space="preserve"> Note that a lead applicant (i.e. a coordinator) whose pillars have been positively assessed by the European Commission and who is awarded a grant will not sign the standard grant </w:t>
      </w:r>
      <w:r w:rsidRPr="001B12EA">
        <w:rPr>
          <w:rFonts w:asciiTheme="minorHAnsi" w:hAnsiTheme="minorHAnsi"/>
          <w:sz w:val="18"/>
          <w:szCs w:val="18"/>
          <w:lang w:eastAsia="nl-NL" w:bidi="nl-NL"/>
        </w:rPr>
        <w:t xml:space="preserve">contract </w:t>
      </w:r>
      <w:r w:rsidRPr="001B12EA">
        <w:rPr>
          <w:rFonts w:asciiTheme="minorHAnsi" w:hAnsiTheme="minorHAnsi"/>
          <w:sz w:val="18"/>
          <w:szCs w:val="18"/>
        </w:rPr>
        <w:t xml:space="preserve">published with these guidelines but a contribution agreement based on the contribution agreement template. All </w:t>
      </w:r>
      <w:r w:rsidRPr="001B12EA">
        <w:rPr>
          <w:rFonts w:asciiTheme="minorHAnsi" w:hAnsiTheme="minorHAnsi"/>
          <w:sz w:val="18"/>
          <w:szCs w:val="18"/>
          <w:lang w:eastAsia="da-DK" w:bidi="da-DK"/>
        </w:rPr>
        <w:t xml:space="preserve">references </w:t>
      </w:r>
      <w:r w:rsidRPr="001B12EA">
        <w:rPr>
          <w:rFonts w:asciiTheme="minorHAnsi" w:hAnsiTheme="minorHAnsi"/>
          <w:sz w:val="18"/>
          <w:szCs w:val="18"/>
        </w:rPr>
        <w:t xml:space="preserve">in these </w:t>
      </w:r>
      <w:r w:rsidRPr="001B12EA">
        <w:rPr>
          <w:rFonts w:asciiTheme="minorHAnsi" w:hAnsiTheme="minorHAnsi"/>
          <w:sz w:val="18"/>
          <w:szCs w:val="18"/>
          <w:lang w:eastAsia="da-DK" w:bidi="da-DK"/>
        </w:rPr>
        <w:t xml:space="preserve">guidelines </w:t>
      </w:r>
      <w:r w:rsidRPr="001B12EA">
        <w:rPr>
          <w:rFonts w:asciiTheme="minorHAnsi" w:hAnsiTheme="minorHAnsi"/>
          <w:sz w:val="18"/>
          <w:szCs w:val="18"/>
        </w:rPr>
        <w:t xml:space="preserve">and other documents related to this call to the standard grant </w:t>
      </w:r>
      <w:r w:rsidRPr="001B12EA">
        <w:rPr>
          <w:rFonts w:asciiTheme="minorHAnsi" w:hAnsiTheme="minorHAnsi"/>
          <w:sz w:val="18"/>
          <w:szCs w:val="18"/>
          <w:lang w:eastAsia="nl-NL" w:bidi="nl-NL"/>
        </w:rPr>
        <w:t xml:space="preserve">contract </w:t>
      </w:r>
      <w:r w:rsidRPr="001B12EA">
        <w:rPr>
          <w:rFonts w:asciiTheme="minorHAnsi" w:hAnsiTheme="minorHAnsi"/>
          <w:sz w:val="18"/>
          <w:szCs w:val="18"/>
        </w:rPr>
        <w:t>shall in this case be understood as referring to the relevant provisions of the contribution agreement template.</w:t>
      </w:r>
    </w:p>
    <w:p w:rsidR="001B12EA" w:rsidRPr="001B12EA" w:rsidRDefault="001B12EA">
      <w:pPr>
        <w:pStyle w:val="FootnoteText"/>
        <w:rPr>
          <w:rFonts w:asciiTheme="minorHAnsi" w:hAnsiTheme="minorHAnsi"/>
          <w:sz w:val="18"/>
          <w:szCs w:val="18"/>
          <w:lang w:val="en-US"/>
        </w:rPr>
      </w:pPr>
    </w:p>
  </w:footnote>
  <w:footnote w:id="8">
    <w:p w:rsidR="001B12EA" w:rsidRPr="001B12EA" w:rsidRDefault="001B12EA">
      <w:pPr>
        <w:pStyle w:val="FootnoteText"/>
        <w:rPr>
          <w:rFonts w:asciiTheme="minorHAnsi" w:hAnsiTheme="minorHAnsi"/>
          <w:sz w:val="18"/>
          <w:szCs w:val="18"/>
        </w:rPr>
      </w:pPr>
      <w:r w:rsidRPr="001B12EA">
        <w:rPr>
          <w:rStyle w:val="FootnoteReference"/>
          <w:rFonts w:asciiTheme="minorHAnsi" w:hAnsiTheme="minorHAnsi"/>
          <w:sz w:val="18"/>
          <w:szCs w:val="18"/>
        </w:rPr>
        <w:footnoteRef/>
      </w:r>
      <w:r w:rsidRPr="001B12EA">
        <w:rPr>
          <w:rFonts w:asciiTheme="minorHAnsi" w:hAnsiTheme="minorHAnsi"/>
          <w:sz w:val="18"/>
          <w:szCs w:val="18"/>
        </w:rPr>
        <w:t xml:space="preserve"> To be determined on the basis of the organisation’s statutes, which should demonstrate that it has been established by an instrument governed by the national law of the country concerned and that its head office is located in an eligible country. In this respect, any legal entity whose statutes have been established in another country cannot be considered an eligible local organisation, even if the statutes are registered locally or a ‘Memorandum of Understanding’ has been concluded.  </w:t>
      </w:r>
    </w:p>
  </w:footnote>
  <w:footnote w:id="9">
    <w:p w:rsidR="001B12EA" w:rsidRPr="001B12EA" w:rsidRDefault="001B12EA">
      <w:pPr>
        <w:pStyle w:val="FootnoteText"/>
        <w:rPr>
          <w:rFonts w:ascii="Calibri" w:hAnsi="Calibri"/>
          <w:sz w:val="18"/>
          <w:szCs w:val="18"/>
        </w:rPr>
      </w:pPr>
      <w:r w:rsidRPr="001B12EA">
        <w:rPr>
          <w:rStyle w:val="FootnoteReference"/>
          <w:rFonts w:ascii="Calibri" w:hAnsi="Calibri"/>
          <w:sz w:val="18"/>
          <w:szCs w:val="18"/>
        </w:rPr>
        <w:footnoteRef/>
      </w:r>
      <w:r w:rsidRPr="001B12EA">
        <w:rPr>
          <w:rFonts w:ascii="Calibri" w:hAnsi="Calibri"/>
          <w:sz w:val="18"/>
          <w:szCs w:val="18"/>
        </w:rPr>
        <w:t xml:space="preserve"> For instance, Article 9(1)(f) of Regulation (EU) No 236/2014 provides for eligibility of member countries of the OECD, in the case of contracts implemented in a Least Developed Country or a Highly Indebted Poor Country, as included in the list of ODA recipients.  </w:t>
      </w:r>
    </w:p>
  </w:footnote>
  <w:footnote w:id="10">
    <w:p w:rsidR="001B12EA" w:rsidRPr="001B12EA" w:rsidRDefault="001B12EA" w:rsidP="0058437A">
      <w:pPr>
        <w:pStyle w:val="Footnote31"/>
        <w:shd w:val="clear" w:color="auto" w:fill="auto"/>
        <w:spacing w:after="64"/>
        <w:rPr>
          <w:rFonts w:ascii="Calibri" w:hAnsi="Calibri"/>
          <w:sz w:val="18"/>
          <w:szCs w:val="18"/>
        </w:rPr>
      </w:pPr>
      <w:r w:rsidRPr="001B12EA">
        <w:rPr>
          <w:rStyle w:val="FootnoteReference"/>
          <w:rFonts w:ascii="Calibri" w:hAnsi="Calibri"/>
          <w:sz w:val="18"/>
          <w:szCs w:val="18"/>
        </w:rPr>
        <w:footnoteRef/>
      </w:r>
      <w:r w:rsidRPr="001B12EA">
        <w:rPr>
          <w:rFonts w:ascii="Calibri" w:hAnsi="Calibri"/>
          <w:sz w:val="18"/>
          <w:szCs w:val="18"/>
        </w:rPr>
        <w:t xml:space="preserve"> The updated lists of sanctions are available at </w:t>
      </w:r>
      <w:hyperlink r:id="rId2" w:history="1">
        <w:r w:rsidRPr="001B12EA">
          <w:rPr>
            <w:rStyle w:val="Footnote30"/>
            <w:rFonts w:ascii="Calibri" w:hAnsi="Calibri"/>
            <w:sz w:val="18"/>
            <w:szCs w:val="18"/>
          </w:rPr>
          <w:t>www. sanctionsmap.eu</w:t>
        </w:r>
        <w:r w:rsidRPr="001B12EA">
          <w:rPr>
            <w:rFonts w:ascii="Calibri" w:hAnsi="Calibri"/>
            <w:sz w:val="18"/>
            <w:szCs w:val="18"/>
          </w:rPr>
          <w:t>.</w:t>
        </w:r>
      </w:hyperlink>
    </w:p>
    <w:p w:rsidR="001B12EA" w:rsidRPr="001B12EA" w:rsidRDefault="001B12EA" w:rsidP="005336DC">
      <w:pPr>
        <w:pStyle w:val="Footnote31"/>
        <w:shd w:val="clear" w:color="auto" w:fill="auto"/>
        <w:spacing w:line="230" w:lineRule="exact"/>
        <w:jc w:val="both"/>
        <w:rPr>
          <w:rFonts w:ascii="Calibri" w:hAnsi="Calibri"/>
          <w:sz w:val="18"/>
          <w:szCs w:val="18"/>
        </w:rPr>
      </w:pPr>
      <w:r w:rsidRPr="001B12EA">
        <w:rPr>
          <w:rFonts w:ascii="Calibri" w:hAnsi="Calibri"/>
          <w:sz w:val="18"/>
          <w:szCs w:val="18"/>
        </w:rPr>
        <w:t xml:space="preserve">Please note that the sanctions map is an IT tool for identifying the sanctions regimes. The source of the sanctions stems </w:t>
      </w:r>
      <w:r w:rsidRPr="001B12EA">
        <w:rPr>
          <w:rFonts w:ascii="Calibri" w:hAnsi="Calibri"/>
          <w:sz w:val="18"/>
          <w:szCs w:val="18"/>
          <w:lang w:eastAsia="da-DK" w:bidi="da-DK"/>
        </w:rPr>
        <w:t xml:space="preserve">from </w:t>
      </w:r>
      <w:r w:rsidRPr="001B12EA">
        <w:rPr>
          <w:rFonts w:ascii="Calibri" w:hAnsi="Calibri"/>
          <w:sz w:val="18"/>
          <w:szCs w:val="18"/>
        </w:rPr>
        <w:t xml:space="preserve">legal acts published in the Official Journal (OJ). In case of discrepancy between the published legal acts and the </w:t>
      </w:r>
      <w:r w:rsidRPr="001B12EA">
        <w:rPr>
          <w:rFonts w:ascii="Calibri" w:hAnsi="Calibri"/>
          <w:sz w:val="18"/>
          <w:szCs w:val="18"/>
          <w:lang w:eastAsia="nl-NL" w:bidi="nl-NL"/>
        </w:rPr>
        <w:t xml:space="preserve">updates </w:t>
      </w:r>
      <w:r w:rsidRPr="001B12EA">
        <w:rPr>
          <w:rFonts w:ascii="Calibri" w:hAnsi="Calibri"/>
          <w:sz w:val="18"/>
          <w:szCs w:val="18"/>
        </w:rPr>
        <w:t>on the website it is the OJ version that prevails.</w:t>
      </w:r>
    </w:p>
    <w:p w:rsidR="001B12EA" w:rsidRPr="001B12EA" w:rsidRDefault="001B12EA">
      <w:pPr>
        <w:pStyle w:val="FootnoteText"/>
        <w:rPr>
          <w:rFonts w:ascii="Calibri" w:hAnsi="Calibri"/>
          <w:sz w:val="18"/>
          <w:szCs w:val="18"/>
        </w:rPr>
      </w:pPr>
    </w:p>
    <w:p w:rsidR="001B12EA" w:rsidRDefault="001B12EA">
      <w:pPr>
        <w:pStyle w:val="FootnoteText"/>
      </w:pPr>
    </w:p>
  </w:footnote>
  <w:footnote w:id="11">
    <w:p w:rsidR="001B12EA" w:rsidRPr="001B12EA" w:rsidRDefault="001B12EA">
      <w:pPr>
        <w:pStyle w:val="Footnote31"/>
        <w:shd w:val="clear" w:color="auto" w:fill="auto"/>
        <w:tabs>
          <w:tab w:val="left" w:pos="144"/>
        </w:tabs>
        <w:jc w:val="both"/>
        <w:rPr>
          <w:rFonts w:asciiTheme="minorHAnsi" w:hAnsiTheme="minorHAnsi"/>
          <w:sz w:val="18"/>
          <w:szCs w:val="18"/>
        </w:rPr>
      </w:pPr>
      <w:r w:rsidRPr="001B12EA">
        <w:rPr>
          <w:rFonts w:asciiTheme="minorHAnsi" w:hAnsiTheme="minorHAnsi"/>
          <w:sz w:val="18"/>
          <w:szCs w:val="18"/>
          <w:vertAlign w:val="superscript"/>
        </w:rPr>
        <w:footnoteRef/>
      </w:r>
      <w:r w:rsidRPr="001B12EA">
        <w:rPr>
          <w:rFonts w:asciiTheme="minorHAnsi" w:hAnsiTheme="minorHAnsi"/>
          <w:sz w:val="18"/>
          <w:szCs w:val="18"/>
        </w:rPr>
        <w:tab/>
        <w:t>These third parties are neither affiliated entity(</w:t>
      </w:r>
      <w:proofErr w:type="spellStart"/>
      <w:r w:rsidRPr="001B12EA">
        <w:rPr>
          <w:rFonts w:asciiTheme="minorHAnsi" w:hAnsiTheme="minorHAnsi"/>
          <w:sz w:val="18"/>
          <w:szCs w:val="18"/>
        </w:rPr>
        <w:t>ies</w:t>
      </w:r>
      <w:proofErr w:type="spellEnd"/>
      <w:r w:rsidRPr="001B12EA">
        <w:rPr>
          <w:rFonts w:asciiTheme="minorHAnsi" w:hAnsiTheme="minorHAnsi"/>
          <w:sz w:val="18"/>
          <w:szCs w:val="18"/>
        </w:rPr>
        <w:t>) nor associates nor contractors.</w:t>
      </w:r>
    </w:p>
  </w:footnote>
  <w:footnote w:id="12">
    <w:p w:rsidR="001B12EA" w:rsidRPr="001B12EA" w:rsidRDefault="001B12EA">
      <w:pPr>
        <w:pStyle w:val="Footnote1"/>
        <w:shd w:val="clear" w:color="auto" w:fill="auto"/>
        <w:tabs>
          <w:tab w:val="left" w:pos="202"/>
        </w:tabs>
        <w:spacing w:after="0" w:line="230" w:lineRule="exact"/>
        <w:ind w:firstLine="0"/>
        <w:rPr>
          <w:rFonts w:asciiTheme="minorHAnsi" w:hAnsiTheme="minorHAnsi"/>
          <w:sz w:val="18"/>
          <w:szCs w:val="18"/>
        </w:rPr>
      </w:pPr>
      <w:r w:rsidRPr="001B12EA">
        <w:rPr>
          <w:rFonts w:asciiTheme="minorHAnsi" w:hAnsiTheme="minorHAnsi"/>
          <w:sz w:val="18"/>
          <w:szCs w:val="18"/>
          <w:vertAlign w:val="superscript"/>
        </w:rPr>
        <w:footnoteRef/>
      </w:r>
      <w:r w:rsidRPr="001B12EA">
        <w:rPr>
          <w:rFonts w:asciiTheme="minorHAnsi" w:hAnsiTheme="minorHAnsi"/>
          <w:sz w:val="18"/>
          <w:szCs w:val="18"/>
        </w:rPr>
        <w:tab/>
        <w:t xml:space="preserve">As per OECD </w:t>
      </w:r>
      <w:r w:rsidRPr="001B12EA">
        <w:rPr>
          <w:rFonts w:asciiTheme="minorHAnsi" w:hAnsiTheme="minorHAnsi"/>
          <w:sz w:val="18"/>
          <w:szCs w:val="18"/>
          <w:lang w:val="hu-HU" w:eastAsia="hu-HU" w:bidi="hu-HU"/>
        </w:rPr>
        <w:t xml:space="preserve">DAC </w:t>
      </w:r>
      <w:r w:rsidRPr="001B12EA">
        <w:rPr>
          <w:rFonts w:asciiTheme="minorHAnsi" w:hAnsiTheme="minorHAnsi"/>
          <w:sz w:val="18"/>
          <w:szCs w:val="18"/>
        </w:rPr>
        <w:t>definition, the term ‘results’ includes: ‘impact’ (overall objective), ‘outcome(s)’ (specific objective(s) and ‘output(s)’.</w:t>
      </w:r>
    </w:p>
    <w:p w:rsidR="001B12EA" w:rsidRPr="001B12EA" w:rsidRDefault="001B12EA">
      <w:pPr>
        <w:pStyle w:val="Footnote1"/>
        <w:shd w:val="clear" w:color="auto" w:fill="auto"/>
        <w:tabs>
          <w:tab w:val="left" w:pos="202"/>
        </w:tabs>
        <w:spacing w:after="0" w:line="230" w:lineRule="exact"/>
        <w:ind w:firstLine="0"/>
        <w:rPr>
          <w:rFonts w:asciiTheme="minorHAnsi" w:hAnsiTheme="minorHAnsi"/>
          <w:sz w:val="18"/>
          <w:szCs w:val="18"/>
        </w:rPr>
      </w:pPr>
    </w:p>
    <w:p w:rsidR="001B12EA" w:rsidRPr="009D203F" w:rsidRDefault="001B12EA" w:rsidP="009D203F"/>
  </w:footnote>
  <w:footnote w:id="13">
    <w:p w:rsidR="001B12EA" w:rsidRDefault="001B12EA">
      <w:pPr>
        <w:pStyle w:val="Footnote31"/>
        <w:shd w:val="clear" w:color="auto" w:fill="auto"/>
        <w:tabs>
          <w:tab w:val="left" w:pos="182"/>
        </w:tabs>
        <w:spacing w:line="230" w:lineRule="exact"/>
        <w:jc w:val="both"/>
      </w:pPr>
      <w:r>
        <w:rPr>
          <w:vertAlign w:val="superscript"/>
        </w:rPr>
        <w:footnoteRef/>
      </w:r>
      <w:r>
        <w:tab/>
        <w:t>Examples:- for staff costs: number of hours or days of work * hourly or daily rate pre-set according to the category of personnel concerned;- for travel expenses: distance in km * pre-set cost of transport per km; number of days * daily allowance pre-set according to the country;- for specific costs arising from the organization of an event: number of participants at the event * pre-set total cost per participant etc.</w:t>
      </w:r>
    </w:p>
  </w:footnote>
  <w:footnote w:id="14">
    <w:p w:rsidR="001B12EA" w:rsidRPr="00401706" w:rsidRDefault="001B12EA" w:rsidP="0056135A">
      <w:pPr>
        <w:pStyle w:val="FootnoteText"/>
        <w:rPr>
          <w:sz w:val="18"/>
          <w:szCs w:val="18"/>
        </w:rPr>
      </w:pPr>
      <w:r w:rsidRPr="00401706">
        <w:rPr>
          <w:rStyle w:val="FootnoteReference"/>
          <w:sz w:val="18"/>
          <w:szCs w:val="18"/>
        </w:rPr>
        <w:footnoteRef/>
      </w:r>
      <w:r w:rsidRPr="00401706">
        <w:rPr>
          <w:sz w:val="18"/>
          <w:szCs w:val="18"/>
        </w:rPr>
        <w:t xml:space="preserve"> Natural persons who apply for a grant (if so allowed in the guidelines for applicants) do not have to register in PADOR. In this case, the information included in PROSPECT and the grant application form is sufficient.</w:t>
      </w:r>
    </w:p>
    <w:p w:rsidR="001B12EA" w:rsidRPr="00401706" w:rsidRDefault="001B12EA">
      <w:pPr>
        <w:pStyle w:val="FootnoteText"/>
        <w:rPr>
          <w:sz w:val="18"/>
          <w:szCs w:val="18"/>
        </w:rPr>
      </w:pPr>
    </w:p>
  </w:footnote>
  <w:footnote w:id="15">
    <w:p w:rsidR="001B12EA" w:rsidRPr="00401706" w:rsidRDefault="001B12EA">
      <w:pPr>
        <w:pStyle w:val="FootnoteText"/>
        <w:rPr>
          <w:sz w:val="18"/>
          <w:szCs w:val="18"/>
        </w:rPr>
      </w:pPr>
      <w:r w:rsidRPr="00401706">
        <w:rPr>
          <w:rStyle w:val="FootnoteReference"/>
          <w:sz w:val="18"/>
          <w:szCs w:val="18"/>
        </w:rPr>
        <w:footnoteRef/>
      </w:r>
      <w:r w:rsidRPr="00401706">
        <w:rPr>
          <w:sz w:val="18"/>
          <w:szCs w:val="18"/>
        </w:rPr>
        <w:t xml:space="preserve"> Which corresponds to sections 3 and 4 of the full application </w:t>
      </w:r>
      <w:proofErr w:type="gramStart"/>
      <w:r w:rsidRPr="00401706">
        <w:rPr>
          <w:sz w:val="18"/>
          <w:szCs w:val="18"/>
        </w:rPr>
        <w:t>form</w:t>
      </w:r>
      <w:proofErr w:type="gramEnd"/>
      <w:r w:rsidRPr="00401706">
        <w:rPr>
          <w:sz w:val="18"/>
          <w:szCs w:val="18"/>
        </w:rPr>
        <w:t xml:space="preserve"> – Annex A.2.</w:t>
      </w:r>
    </w:p>
  </w:footnote>
  <w:footnote w:id="16">
    <w:p w:rsidR="001B12EA" w:rsidRPr="00401706" w:rsidRDefault="001B12EA">
      <w:pPr>
        <w:pStyle w:val="FootnoteText"/>
        <w:rPr>
          <w:sz w:val="18"/>
          <w:szCs w:val="18"/>
        </w:rPr>
      </w:pPr>
      <w:r w:rsidRPr="00401706">
        <w:rPr>
          <w:rStyle w:val="FootnoteReference"/>
          <w:sz w:val="18"/>
          <w:szCs w:val="18"/>
        </w:rPr>
        <w:footnoteRef/>
      </w:r>
      <w:r w:rsidRPr="00401706">
        <w:rPr>
          <w:sz w:val="18"/>
          <w:szCs w:val="18"/>
        </w:rPr>
        <w:t xml:space="preserve"> For example: http://www.timeanddate.com/worldclock/converter.html.</w:t>
      </w:r>
    </w:p>
  </w:footnote>
  <w:footnote w:id="17">
    <w:p w:rsidR="001B12EA" w:rsidRPr="00401706" w:rsidRDefault="001B12EA" w:rsidP="001F4269">
      <w:pPr>
        <w:pStyle w:val="FootnoteText"/>
        <w:rPr>
          <w:sz w:val="18"/>
          <w:szCs w:val="18"/>
        </w:rPr>
      </w:pPr>
      <w:r w:rsidRPr="00401706">
        <w:rPr>
          <w:rStyle w:val="FootnoteReference"/>
          <w:sz w:val="18"/>
          <w:szCs w:val="18"/>
        </w:rPr>
        <w:footnoteRef/>
      </w:r>
      <w:r w:rsidRPr="00401706">
        <w:rPr>
          <w:sz w:val="18"/>
          <w:szCs w:val="18"/>
        </w:rPr>
        <w:t xml:space="preserve"> Please use an online time converter tool, such as the one presented in the footnote above.</w:t>
      </w:r>
    </w:p>
    <w:p w:rsidR="001B12EA" w:rsidRPr="00401706" w:rsidRDefault="001B12EA" w:rsidP="001F4269">
      <w:pPr>
        <w:pStyle w:val="FootnoteText"/>
        <w:rPr>
          <w:sz w:val="18"/>
          <w:szCs w:val="18"/>
        </w:rPr>
      </w:pPr>
      <w:r w:rsidRPr="00401706">
        <w:rPr>
          <w:sz w:val="18"/>
          <w:szCs w:val="18"/>
        </w:rPr>
        <w:t>All questions related to registration in PADOR or the online submission via PROSPECT should be addressed to the IT helpdesk at EuropeAid-IT-support@ec.europa.eu via the online support form in PROSPECT: Please note that the working languages of the IT support are: English French and Spanish. Therefore, users are invited to send their questions in English, French or Spanish should they wish to benefit from an optimum response time.</w:t>
      </w:r>
    </w:p>
  </w:footnote>
  <w:footnote w:id="18">
    <w:p w:rsidR="001B12EA" w:rsidRPr="00401706" w:rsidRDefault="001B12EA" w:rsidP="005A736F">
      <w:pPr>
        <w:pStyle w:val="Footnote31"/>
        <w:shd w:val="clear" w:color="auto" w:fill="auto"/>
        <w:spacing w:line="230" w:lineRule="exact"/>
        <w:jc w:val="both"/>
        <w:rPr>
          <w:sz w:val="18"/>
          <w:szCs w:val="18"/>
        </w:rPr>
      </w:pPr>
      <w:r w:rsidRPr="00401706">
        <w:rPr>
          <w:sz w:val="18"/>
          <w:szCs w:val="18"/>
          <w:vertAlign w:val="superscript"/>
        </w:rPr>
        <w:footnoteRef/>
      </w:r>
      <w:r w:rsidRPr="00401706">
        <w:rPr>
          <w:sz w:val="18"/>
          <w:szCs w:val="18"/>
        </w:rPr>
        <w:t xml:space="preserve"> Natural persons who apply for a grant (if so allowed in the guidelines for applicants) do not have to provide an organisation data form. In this case, the information included in the grant application form is sufficient.</w:t>
      </w:r>
    </w:p>
  </w:footnote>
  <w:footnote w:id="19">
    <w:p w:rsidR="001B12EA" w:rsidRPr="00401FA8" w:rsidRDefault="001B12EA" w:rsidP="00401FA8">
      <w:pPr>
        <w:pStyle w:val="Footnote21"/>
        <w:shd w:val="clear" w:color="auto" w:fill="auto"/>
        <w:ind w:firstLine="0"/>
        <w:jc w:val="left"/>
        <w:rPr>
          <w:sz w:val="18"/>
          <w:szCs w:val="18"/>
        </w:rPr>
      </w:pPr>
      <w:r w:rsidRPr="00401FA8">
        <w:rPr>
          <w:sz w:val="18"/>
          <w:szCs w:val="18"/>
        </w:rPr>
        <w:footnoteRef/>
      </w:r>
      <w:r w:rsidRPr="00401FA8">
        <w:rPr>
          <w:sz w:val="18"/>
          <w:szCs w:val="18"/>
        </w:rPr>
        <w:t xml:space="preserve">Please use an online time converter tool, such as </w:t>
      </w:r>
      <w:hyperlink r:id="rId3" w:history="1">
        <w:r w:rsidRPr="00401FA8">
          <w:rPr>
            <w:sz w:val="18"/>
            <w:szCs w:val="18"/>
          </w:rPr>
          <w:t>http://www.timeanddate.com/worldclock/converter.html</w:t>
        </w:r>
      </w:hyperlink>
      <w:r w:rsidRPr="00401FA8">
        <w:rPr>
          <w:sz w:val="18"/>
          <w:szCs w:val="18"/>
        </w:rPr>
        <w:t>.</w:t>
      </w:r>
    </w:p>
  </w:footnote>
  <w:footnote w:id="20">
    <w:p w:rsidR="001B12EA" w:rsidRPr="00A36B8F" w:rsidRDefault="001B12EA">
      <w:pPr>
        <w:pStyle w:val="Footnote31"/>
        <w:shd w:val="clear" w:color="auto" w:fill="auto"/>
        <w:tabs>
          <w:tab w:val="left" w:pos="182"/>
        </w:tabs>
        <w:jc w:val="both"/>
        <w:rPr>
          <w:sz w:val="18"/>
          <w:szCs w:val="18"/>
        </w:rPr>
      </w:pPr>
      <w:r w:rsidRPr="00A36B8F">
        <w:rPr>
          <w:sz w:val="18"/>
          <w:szCs w:val="18"/>
          <w:vertAlign w:val="superscript"/>
        </w:rPr>
        <w:footnoteRef/>
      </w:r>
      <w:r w:rsidRPr="00A36B8F">
        <w:rPr>
          <w:sz w:val="18"/>
          <w:szCs w:val="18"/>
        </w:rPr>
        <w:tab/>
        <w:t xml:space="preserve">No supporting document will be requested </w:t>
      </w:r>
      <w:r w:rsidRPr="00A36B8F">
        <w:rPr>
          <w:sz w:val="18"/>
          <w:szCs w:val="18"/>
          <w:lang w:eastAsia="da-DK" w:bidi="da-DK"/>
        </w:rPr>
        <w:t xml:space="preserve">for </w:t>
      </w:r>
      <w:r w:rsidRPr="00A36B8F">
        <w:rPr>
          <w:sz w:val="18"/>
          <w:szCs w:val="18"/>
        </w:rPr>
        <w:t xml:space="preserve">applications </w:t>
      </w:r>
      <w:r w:rsidRPr="00A36B8F">
        <w:rPr>
          <w:sz w:val="18"/>
          <w:szCs w:val="18"/>
          <w:lang w:eastAsia="da-DK" w:bidi="da-DK"/>
        </w:rPr>
        <w:t xml:space="preserve">for </w:t>
      </w:r>
      <w:r w:rsidRPr="00A36B8F">
        <w:rPr>
          <w:sz w:val="18"/>
          <w:szCs w:val="18"/>
        </w:rPr>
        <w:t>a grant not exceeding EUR 60 000.</w:t>
      </w:r>
    </w:p>
  </w:footnote>
  <w:footnote w:id="21">
    <w:p w:rsidR="001B12EA" w:rsidRPr="00FA32C2" w:rsidRDefault="001B12EA">
      <w:pPr>
        <w:pStyle w:val="Footnote31"/>
        <w:shd w:val="clear" w:color="auto" w:fill="auto"/>
        <w:tabs>
          <w:tab w:val="left" w:pos="192"/>
        </w:tabs>
        <w:spacing w:line="230" w:lineRule="exact"/>
        <w:jc w:val="both"/>
        <w:rPr>
          <w:sz w:val="18"/>
          <w:szCs w:val="18"/>
        </w:rPr>
      </w:pPr>
      <w:r w:rsidRPr="00FA32C2">
        <w:rPr>
          <w:sz w:val="18"/>
          <w:szCs w:val="18"/>
          <w:vertAlign w:val="superscript"/>
        </w:rPr>
        <w:footnoteRef/>
      </w:r>
      <w:r w:rsidRPr="00FA32C2">
        <w:rPr>
          <w:sz w:val="18"/>
          <w:szCs w:val="18"/>
        </w:rPr>
        <w:tab/>
        <w:t>Where the lead applicant and/or a co-applicant(s) and or an affiliated entity(</w:t>
      </w:r>
      <w:proofErr w:type="spellStart"/>
      <w:r w:rsidRPr="00FA32C2">
        <w:rPr>
          <w:sz w:val="18"/>
          <w:szCs w:val="18"/>
        </w:rPr>
        <w:t>ies</w:t>
      </w:r>
      <w:proofErr w:type="spellEnd"/>
      <w:r w:rsidRPr="00FA32C2">
        <w:rPr>
          <w:sz w:val="18"/>
          <w:szCs w:val="18"/>
        </w:rPr>
        <w:t>) is a public body created by a law, a copy of the said law must be provided.</w:t>
      </w:r>
    </w:p>
  </w:footnote>
  <w:footnote w:id="22">
    <w:p w:rsidR="001B12EA" w:rsidRPr="00FA32C2" w:rsidRDefault="001B12EA">
      <w:pPr>
        <w:pStyle w:val="Footnote31"/>
        <w:shd w:val="clear" w:color="auto" w:fill="auto"/>
        <w:tabs>
          <w:tab w:val="left" w:pos="178"/>
        </w:tabs>
        <w:jc w:val="both"/>
        <w:rPr>
          <w:sz w:val="18"/>
          <w:szCs w:val="18"/>
        </w:rPr>
      </w:pPr>
      <w:r w:rsidRPr="00FA32C2">
        <w:rPr>
          <w:sz w:val="18"/>
          <w:szCs w:val="18"/>
          <w:vertAlign w:val="superscript"/>
        </w:rPr>
        <w:footnoteRef/>
      </w:r>
      <w:r w:rsidRPr="00FA32C2">
        <w:rPr>
          <w:sz w:val="18"/>
          <w:szCs w:val="18"/>
        </w:rPr>
        <w:tab/>
        <w:t xml:space="preserve">To be inserted only where the eligibility conditions have not changed from </w:t>
      </w:r>
      <w:r w:rsidRPr="00FA32C2">
        <w:rPr>
          <w:sz w:val="18"/>
          <w:szCs w:val="18"/>
          <w:lang w:val="hr-HR" w:eastAsia="hr-HR" w:bidi="hr-HR"/>
        </w:rPr>
        <w:t xml:space="preserve">one </w:t>
      </w:r>
      <w:r w:rsidRPr="00FA32C2">
        <w:rPr>
          <w:sz w:val="18"/>
          <w:szCs w:val="18"/>
        </w:rPr>
        <w:t xml:space="preserve">call </w:t>
      </w:r>
      <w:r w:rsidRPr="00FA32C2">
        <w:rPr>
          <w:sz w:val="18"/>
          <w:szCs w:val="18"/>
          <w:lang w:eastAsia="da-DK" w:bidi="da-DK"/>
        </w:rPr>
        <w:t xml:space="preserve">for </w:t>
      </w:r>
      <w:r w:rsidRPr="00FA32C2">
        <w:rPr>
          <w:sz w:val="18"/>
          <w:szCs w:val="18"/>
        </w:rPr>
        <w:t>proposals to the other.</w:t>
      </w:r>
    </w:p>
  </w:footnote>
  <w:footnote w:id="23">
    <w:p w:rsidR="001B12EA" w:rsidRPr="00FA32C2" w:rsidRDefault="001B12EA">
      <w:pPr>
        <w:pStyle w:val="Footnote31"/>
        <w:shd w:val="clear" w:color="auto" w:fill="auto"/>
        <w:tabs>
          <w:tab w:val="left" w:pos="182"/>
        </w:tabs>
        <w:spacing w:line="230" w:lineRule="exact"/>
        <w:jc w:val="both"/>
        <w:rPr>
          <w:sz w:val="18"/>
          <w:szCs w:val="18"/>
        </w:rPr>
      </w:pPr>
      <w:r w:rsidRPr="00FA32C2">
        <w:rPr>
          <w:sz w:val="18"/>
          <w:szCs w:val="18"/>
          <w:vertAlign w:val="superscript"/>
        </w:rPr>
        <w:footnoteRef/>
      </w:r>
      <w:r w:rsidRPr="00FA32C2">
        <w:rPr>
          <w:sz w:val="18"/>
          <w:szCs w:val="18"/>
        </w:rPr>
        <w:tab/>
        <w:t xml:space="preserve">This obligation does not apply to natural persons who have received a scholarship or that are in </w:t>
      </w:r>
      <w:r w:rsidRPr="00FA32C2">
        <w:rPr>
          <w:sz w:val="18"/>
          <w:szCs w:val="18"/>
          <w:lang w:val="hr-HR" w:eastAsia="hr-HR" w:bidi="hr-HR"/>
        </w:rPr>
        <w:t xml:space="preserve">most </w:t>
      </w:r>
      <w:r w:rsidRPr="00FA32C2">
        <w:rPr>
          <w:sz w:val="18"/>
          <w:szCs w:val="18"/>
        </w:rPr>
        <w:t>need in receipt of direct support, nor to public bodies and to international organisations. It does not apply either when the accounts are in practice the same documents as the external audit report already provided pursuant to Section 2.4.2.</w:t>
      </w:r>
    </w:p>
  </w:footnote>
  <w:footnote w:id="24">
    <w:p w:rsidR="001B12EA" w:rsidRPr="00FA32C2" w:rsidRDefault="001B12EA">
      <w:pPr>
        <w:pStyle w:val="Footnote31"/>
        <w:shd w:val="clear" w:color="auto" w:fill="auto"/>
        <w:tabs>
          <w:tab w:val="left" w:pos="182"/>
        </w:tabs>
        <w:jc w:val="both"/>
        <w:rPr>
          <w:sz w:val="18"/>
          <w:szCs w:val="18"/>
        </w:rPr>
      </w:pPr>
      <w:r w:rsidRPr="00FA32C2">
        <w:rPr>
          <w:sz w:val="18"/>
          <w:szCs w:val="18"/>
          <w:vertAlign w:val="superscript"/>
        </w:rPr>
        <w:footnoteRef/>
      </w:r>
      <w:r w:rsidRPr="00FA32C2">
        <w:rPr>
          <w:sz w:val="18"/>
          <w:szCs w:val="18"/>
        </w:rPr>
        <w:tab/>
        <w:t>Only applicable where the European Commission will make the payments under the contracts to be signed.</w:t>
      </w:r>
    </w:p>
  </w:footnote>
  <w:footnote w:id="25">
    <w:p w:rsidR="001B12EA" w:rsidRPr="00FA32C2" w:rsidRDefault="001B12EA">
      <w:pPr>
        <w:pStyle w:val="Footnote31"/>
        <w:shd w:val="clear" w:color="auto" w:fill="auto"/>
        <w:tabs>
          <w:tab w:val="left" w:pos="182"/>
        </w:tabs>
        <w:jc w:val="both"/>
        <w:rPr>
          <w:sz w:val="18"/>
          <w:szCs w:val="18"/>
        </w:rPr>
      </w:pPr>
      <w:r w:rsidRPr="00FA32C2">
        <w:rPr>
          <w:sz w:val="18"/>
          <w:szCs w:val="18"/>
          <w:vertAlign w:val="superscript"/>
        </w:rPr>
        <w:footnoteRef/>
      </w:r>
      <w:r w:rsidRPr="00FA32C2">
        <w:rPr>
          <w:sz w:val="18"/>
          <w:szCs w:val="18"/>
        </w:rPr>
        <w:tab/>
        <w:t>These documents should also be published by the contracting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CCC"/>
    <w:multiLevelType w:val="multilevel"/>
    <w:tmpl w:val="7752FFBC"/>
    <w:lvl w:ilvl="0">
      <w:start w:val="1"/>
      <w:numFmt w:val="decimal"/>
      <w:pStyle w:val="Guidelines1"/>
      <w:lvlText w:val="%1."/>
      <w:lvlJc w:val="left"/>
      <w:pPr>
        <w:ind w:left="360" w:hanging="360"/>
      </w:pPr>
      <w:rPr>
        <w:rFonts w:hint="default"/>
        <w:b/>
        <w:i w:val="0"/>
        <w:caps/>
        <w:strike w:val="0"/>
        <w:dstrike w:val="0"/>
        <w:color w:val="000000"/>
        <w:sz w:val="32"/>
        <w:vertAlign w:val="base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1" w15:restartNumberingAfterBreak="0">
    <w:nsid w:val="01C7634E"/>
    <w:multiLevelType w:val="hybridMultilevel"/>
    <w:tmpl w:val="7A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56AA3"/>
    <w:multiLevelType w:val="hybridMultilevel"/>
    <w:tmpl w:val="1234C3B2"/>
    <w:lvl w:ilvl="0" w:tplc="E81C41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E5447"/>
    <w:multiLevelType w:val="hybridMultilevel"/>
    <w:tmpl w:val="DED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34AD9"/>
    <w:multiLevelType w:val="multilevel"/>
    <w:tmpl w:val="389E78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63E3B"/>
    <w:multiLevelType w:val="hybridMultilevel"/>
    <w:tmpl w:val="519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F3FD6"/>
    <w:multiLevelType w:val="hybridMultilevel"/>
    <w:tmpl w:val="848087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801DD"/>
    <w:multiLevelType w:val="multilevel"/>
    <w:tmpl w:val="4EA44F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436B69"/>
    <w:multiLevelType w:val="hybridMultilevel"/>
    <w:tmpl w:val="10D88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91288"/>
    <w:multiLevelType w:val="hybridMultilevel"/>
    <w:tmpl w:val="D0B0A6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7045B"/>
    <w:multiLevelType w:val="hybridMultilevel"/>
    <w:tmpl w:val="7C20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62AEB"/>
    <w:multiLevelType w:val="multilevel"/>
    <w:tmpl w:val="4E0ECE5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A276F4"/>
    <w:multiLevelType w:val="multilevel"/>
    <w:tmpl w:val="8DD830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055D79"/>
    <w:multiLevelType w:val="multilevel"/>
    <w:tmpl w:val="492481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64335"/>
    <w:multiLevelType w:val="multilevel"/>
    <w:tmpl w:val="FF20296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3CF6E3F"/>
    <w:multiLevelType w:val="multilevel"/>
    <w:tmpl w:val="4D94BE5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EE11EC"/>
    <w:multiLevelType w:val="hybridMultilevel"/>
    <w:tmpl w:val="A142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66479"/>
    <w:multiLevelType w:val="hybridMultilevel"/>
    <w:tmpl w:val="A30CABB4"/>
    <w:lvl w:ilvl="0" w:tplc="7786BCEC">
      <w:start w:val="2"/>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15:restartNumberingAfterBreak="0">
    <w:nsid w:val="2D1A0648"/>
    <w:multiLevelType w:val="multilevel"/>
    <w:tmpl w:val="DE9E103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C95B6F"/>
    <w:multiLevelType w:val="hybridMultilevel"/>
    <w:tmpl w:val="4C7CB176"/>
    <w:lvl w:ilvl="0" w:tplc="7786BCEC">
      <w:start w:val="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A230666"/>
    <w:multiLevelType w:val="multilevel"/>
    <w:tmpl w:val="489CE6B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397B61"/>
    <w:multiLevelType w:val="multilevel"/>
    <w:tmpl w:val="3878C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6F3458"/>
    <w:multiLevelType w:val="hybridMultilevel"/>
    <w:tmpl w:val="9788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57CF8"/>
    <w:multiLevelType w:val="hybridMultilevel"/>
    <w:tmpl w:val="F934D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E73D9"/>
    <w:multiLevelType w:val="hybridMultilevel"/>
    <w:tmpl w:val="C1D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8234B"/>
    <w:multiLevelType w:val="multilevel"/>
    <w:tmpl w:val="AA343DD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n-US" w:eastAsia="en-US" w:bidi="en-US"/>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821F68"/>
    <w:multiLevelType w:val="multilevel"/>
    <w:tmpl w:val="421A2BDE"/>
    <w:lvl w:ilvl="0">
      <w:start w:val="4"/>
      <w:numFmt w:val="decimal"/>
      <w:lvlText w:val="2.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FC4131"/>
    <w:multiLevelType w:val="hybridMultilevel"/>
    <w:tmpl w:val="5EC41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4E74FD"/>
    <w:multiLevelType w:val="hybridMultilevel"/>
    <w:tmpl w:val="C8AA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520ECD"/>
    <w:multiLevelType w:val="multilevel"/>
    <w:tmpl w:val="F2FE9DCA"/>
    <w:lvl w:ilvl="0">
      <w:start w:val="1"/>
      <w:numFmt w:val="decimal"/>
      <w:pStyle w:val="Guidline3"/>
      <w:lvlText w:val="2.1.%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C56E4C"/>
    <w:multiLevelType w:val="multilevel"/>
    <w:tmpl w:val="3D404F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73624B"/>
    <w:multiLevelType w:val="hybridMultilevel"/>
    <w:tmpl w:val="82A0D90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2" w15:restartNumberingAfterBreak="0">
    <w:nsid w:val="62906C5E"/>
    <w:multiLevelType w:val="multilevel"/>
    <w:tmpl w:val="30FCAE6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436D8"/>
    <w:multiLevelType w:val="hybridMultilevel"/>
    <w:tmpl w:val="7A2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B74A3"/>
    <w:multiLevelType w:val="multilevel"/>
    <w:tmpl w:val="DE9E103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A95777"/>
    <w:multiLevelType w:val="hybridMultilevel"/>
    <w:tmpl w:val="8CA4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064A1D"/>
    <w:multiLevelType w:val="hybridMultilevel"/>
    <w:tmpl w:val="DC2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1C0524"/>
    <w:multiLevelType w:val="multilevel"/>
    <w:tmpl w:val="C622BA72"/>
    <w:lvl w:ilvl="0">
      <w:start w:val="1"/>
      <w:numFmt w:val="bullet"/>
      <w:lvlText w:val="&l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285EAD"/>
    <w:multiLevelType w:val="hybridMultilevel"/>
    <w:tmpl w:val="19289640"/>
    <w:lvl w:ilvl="0" w:tplc="77465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E33D04"/>
    <w:multiLevelType w:val="hybridMultilevel"/>
    <w:tmpl w:val="65B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80FA0"/>
    <w:multiLevelType w:val="hybridMultilevel"/>
    <w:tmpl w:val="4ACAA4E4"/>
    <w:lvl w:ilvl="0" w:tplc="7786BCEC">
      <w:start w:val="2"/>
      <w:numFmt w:val="bullet"/>
      <w:lvlText w:val="-"/>
      <w:lvlJc w:val="left"/>
      <w:pPr>
        <w:ind w:left="720" w:hanging="360"/>
      </w:pPr>
      <w:rPr>
        <w:rFonts w:ascii="Calibri" w:eastAsiaTheme="minorHAns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34201A9"/>
    <w:multiLevelType w:val="multilevel"/>
    <w:tmpl w:val="DE10B27E"/>
    <w:lvl w:ilvl="0">
      <w:start w:val="3"/>
      <w:numFmt w:val="decimal"/>
      <w:lvlText w:val="2.2.%1."/>
      <w:lvlJc w:val="left"/>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622433E"/>
    <w:multiLevelType w:val="hybridMultilevel"/>
    <w:tmpl w:val="D5B4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D300E"/>
    <w:multiLevelType w:val="hybridMultilevel"/>
    <w:tmpl w:val="7B8C3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20739"/>
    <w:multiLevelType w:val="multilevel"/>
    <w:tmpl w:val="94A03720"/>
    <w:lvl w:ilvl="0">
      <w:start w:val="1"/>
      <w:numFmt w:val="decimal"/>
      <w:lvlText w:val="2.%1."/>
      <w:lvlJc w:val="left"/>
      <w:rPr>
        <w:rFonts w:hint="default"/>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A93958"/>
    <w:multiLevelType w:val="multilevel"/>
    <w:tmpl w:val="26D07F50"/>
    <w:lvl w:ilvl="0">
      <w:start w:val="1"/>
      <w:numFmt w:val="decimal"/>
      <w:lvlText w:val="%1."/>
      <w:lvlJc w:val="left"/>
      <w:pPr>
        <w:ind w:left="360" w:hanging="360"/>
      </w:pPr>
      <w:rPr>
        <w:rFonts w:hint="default"/>
      </w:rPr>
    </w:lvl>
    <w:lvl w:ilvl="1">
      <w:start w:val="1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25"/>
  </w:num>
  <w:num w:numId="3">
    <w:abstractNumId w:val="4"/>
  </w:num>
  <w:num w:numId="4">
    <w:abstractNumId w:val="34"/>
  </w:num>
  <w:num w:numId="5">
    <w:abstractNumId w:val="21"/>
  </w:num>
  <w:num w:numId="6">
    <w:abstractNumId w:val="29"/>
  </w:num>
  <w:num w:numId="7">
    <w:abstractNumId w:val="14"/>
  </w:num>
  <w:num w:numId="8">
    <w:abstractNumId w:val="7"/>
  </w:num>
  <w:num w:numId="9">
    <w:abstractNumId w:val="26"/>
  </w:num>
  <w:num w:numId="10">
    <w:abstractNumId w:val="11"/>
  </w:num>
  <w:num w:numId="11">
    <w:abstractNumId w:val="37"/>
  </w:num>
  <w:num w:numId="12">
    <w:abstractNumId w:val="15"/>
  </w:num>
  <w:num w:numId="13">
    <w:abstractNumId w:val="30"/>
  </w:num>
  <w:num w:numId="14">
    <w:abstractNumId w:val="41"/>
  </w:num>
  <w:num w:numId="15">
    <w:abstractNumId w:val="12"/>
  </w:num>
  <w:num w:numId="16">
    <w:abstractNumId w:val="1"/>
  </w:num>
  <w:num w:numId="17">
    <w:abstractNumId w:val="31"/>
  </w:num>
  <w:num w:numId="18">
    <w:abstractNumId w:val="24"/>
  </w:num>
  <w:num w:numId="19">
    <w:abstractNumId w:val="33"/>
  </w:num>
  <w:num w:numId="20">
    <w:abstractNumId w:val="16"/>
  </w:num>
  <w:num w:numId="21">
    <w:abstractNumId w:val="10"/>
  </w:num>
  <w:num w:numId="22">
    <w:abstractNumId w:val="0"/>
  </w:num>
  <w:num w:numId="23">
    <w:abstractNumId w:val="35"/>
  </w:num>
  <w:num w:numId="24">
    <w:abstractNumId w:val="19"/>
  </w:num>
  <w:num w:numId="25">
    <w:abstractNumId w:val="40"/>
  </w:num>
  <w:num w:numId="26">
    <w:abstractNumId w:val="27"/>
  </w:num>
  <w:num w:numId="27">
    <w:abstractNumId w:val="8"/>
  </w:num>
  <w:num w:numId="28">
    <w:abstractNumId w:val="17"/>
  </w:num>
  <w:num w:numId="29">
    <w:abstractNumId w:val="9"/>
  </w:num>
  <w:num w:numId="30">
    <w:abstractNumId w:val="43"/>
  </w:num>
  <w:num w:numId="31">
    <w:abstractNumId w:val="6"/>
  </w:num>
  <w:num w:numId="32">
    <w:abstractNumId w:val="39"/>
  </w:num>
  <w:num w:numId="33">
    <w:abstractNumId w:val="20"/>
  </w:num>
  <w:num w:numId="34">
    <w:abstractNumId w:val="23"/>
  </w:num>
  <w:num w:numId="35">
    <w:abstractNumId w:val="3"/>
  </w:num>
  <w:num w:numId="36">
    <w:abstractNumId w:val="36"/>
  </w:num>
  <w:num w:numId="37">
    <w:abstractNumId w:val="22"/>
  </w:num>
  <w:num w:numId="38">
    <w:abstractNumId w:val="5"/>
  </w:num>
  <w:num w:numId="39">
    <w:abstractNumId w:val="28"/>
  </w:num>
  <w:num w:numId="40">
    <w:abstractNumId w:val="42"/>
  </w:num>
  <w:num w:numId="41">
    <w:abstractNumId w:val="0"/>
  </w:num>
  <w:num w:numId="42">
    <w:abstractNumId w:val="18"/>
  </w:num>
  <w:num w:numId="43">
    <w:abstractNumId w:val="44"/>
  </w:num>
  <w:num w:numId="44">
    <w:abstractNumId w:val="45"/>
  </w:num>
  <w:num w:numId="45">
    <w:abstractNumId w:val="2"/>
  </w:num>
  <w:num w:numId="46">
    <w:abstractNumId w:val="38"/>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B5BFC"/>
    <w:rsid w:val="00000868"/>
    <w:rsid w:val="00011C4E"/>
    <w:rsid w:val="00016034"/>
    <w:rsid w:val="00016F76"/>
    <w:rsid w:val="000214F2"/>
    <w:rsid w:val="00030BDC"/>
    <w:rsid w:val="00040D6D"/>
    <w:rsid w:val="000436F6"/>
    <w:rsid w:val="0004548A"/>
    <w:rsid w:val="000508A4"/>
    <w:rsid w:val="00054495"/>
    <w:rsid w:val="00060CFB"/>
    <w:rsid w:val="000629E5"/>
    <w:rsid w:val="00065ED2"/>
    <w:rsid w:val="00070510"/>
    <w:rsid w:val="0007052A"/>
    <w:rsid w:val="00071531"/>
    <w:rsid w:val="000741F0"/>
    <w:rsid w:val="000801EE"/>
    <w:rsid w:val="00082DB0"/>
    <w:rsid w:val="00084DEA"/>
    <w:rsid w:val="00096963"/>
    <w:rsid w:val="000A13FD"/>
    <w:rsid w:val="000B0538"/>
    <w:rsid w:val="000B3A6E"/>
    <w:rsid w:val="000B3E51"/>
    <w:rsid w:val="000B5BFC"/>
    <w:rsid w:val="000C1F41"/>
    <w:rsid w:val="000C4678"/>
    <w:rsid w:val="000C56FF"/>
    <w:rsid w:val="000D03AE"/>
    <w:rsid w:val="000D133B"/>
    <w:rsid w:val="000D6762"/>
    <w:rsid w:val="000D7C32"/>
    <w:rsid w:val="000E54CD"/>
    <w:rsid w:val="000E62D1"/>
    <w:rsid w:val="000E6F20"/>
    <w:rsid w:val="000F1E37"/>
    <w:rsid w:val="000F6E4D"/>
    <w:rsid w:val="00105573"/>
    <w:rsid w:val="001159DC"/>
    <w:rsid w:val="00116D7D"/>
    <w:rsid w:val="0012111B"/>
    <w:rsid w:val="00121A97"/>
    <w:rsid w:val="00130ED6"/>
    <w:rsid w:val="001343E9"/>
    <w:rsid w:val="001366B7"/>
    <w:rsid w:val="001366C5"/>
    <w:rsid w:val="00137026"/>
    <w:rsid w:val="001437B5"/>
    <w:rsid w:val="001440B4"/>
    <w:rsid w:val="00145986"/>
    <w:rsid w:val="00145B73"/>
    <w:rsid w:val="00146B5E"/>
    <w:rsid w:val="00156851"/>
    <w:rsid w:val="00157E5E"/>
    <w:rsid w:val="00165191"/>
    <w:rsid w:val="00176237"/>
    <w:rsid w:val="00190652"/>
    <w:rsid w:val="001A0D8A"/>
    <w:rsid w:val="001A1B9E"/>
    <w:rsid w:val="001A23A8"/>
    <w:rsid w:val="001A34A3"/>
    <w:rsid w:val="001B0BF1"/>
    <w:rsid w:val="001B12EA"/>
    <w:rsid w:val="001B19B8"/>
    <w:rsid w:val="001B3D9A"/>
    <w:rsid w:val="001B7AD8"/>
    <w:rsid w:val="001C5EB8"/>
    <w:rsid w:val="001D00A4"/>
    <w:rsid w:val="001D43F3"/>
    <w:rsid w:val="001E69F2"/>
    <w:rsid w:val="001F4269"/>
    <w:rsid w:val="001F4A2D"/>
    <w:rsid w:val="001F59C3"/>
    <w:rsid w:val="002018BB"/>
    <w:rsid w:val="00207975"/>
    <w:rsid w:val="0021267A"/>
    <w:rsid w:val="0021355F"/>
    <w:rsid w:val="00220883"/>
    <w:rsid w:val="00221B90"/>
    <w:rsid w:val="00226249"/>
    <w:rsid w:val="00227276"/>
    <w:rsid w:val="0023310D"/>
    <w:rsid w:val="00233D22"/>
    <w:rsid w:val="00235720"/>
    <w:rsid w:val="00235D3D"/>
    <w:rsid w:val="00237DCE"/>
    <w:rsid w:val="00244341"/>
    <w:rsid w:val="002479FF"/>
    <w:rsid w:val="00250C71"/>
    <w:rsid w:val="002535E4"/>
    <w:rsid w:val="00272B6C"/>
    <w:rsid w:val="00273618"/>
    <w:rsid w:val="00297E95"/>
    <w:rsid w:val="002A5193"/>
    <w:rsid w:val="002A5706"/>
    <w:rsid w:val="002A7A1A"/>
    <w:rsid w:val="002B02FF"/>
    <w:rsid w:val="002B08B2"/>
    <w:rsid w:val="002C4087"/>
    <w:rsid w:val="002C4443"/>
    <w:rsid w:val="002C4F98"/>
    <w:rsid w:val="002D0AD8"/>
    <w:rsid w:val="002D1058"/>
    <w:rsid w:val="002D1409"/>
    <w:rsid w:val="002D2401"/>
    <w:rsid w:val="002D3F59"/>
    <w:rsid w:val="002D4D27"/>
    <w:rsid w:val="002E0831"/>
    <w:rsid w:val="002E2690"/>
    <w:rsid w:val="002E7500"/>
    <w:rsid w:val="00300DDB"/>
    <w:rsid w:val="0030301F"/>
    <w:rsid w:val="00303223"/>
    <w:rsid w:val="00307B6B"/>
    <w:rsid w:val="00315248"/>
    <w:rsid w:val="00316446"/>
    <w:rsid w:val="00316ED6"/>
    <w:rsid w:val="00321B6F"/>
    <w:rsid w:val="00323DD7"/>
    <w:rsid w:val="0032492C"/>
    <w:rsid w:val="00324C1B"/>
    <w:rsid w:val="00326880"/>
    <w:rsid w:val="00331A62"/>
    <w:rsid w:val="00332613"/>
    <w:rsid w:val="003347A5"/>
    <w:rsid w:val="003444DA"/>
    <w:rsid w:val="00347561"/>
    <w:rsid w:val="00353601"/>
    <w:rsid w:val="00354B7E"/>
    <w:rsid w:val="00357A44"/>
    <w:rsid w:val="003649DA"/>
    <w:rsid w:val="00374BAE"/>
    <w:rsid w:val="00383184"/>
    <w:rsid w:val="00385945"/>
    <w:rsid w:val="003862F6"/>
    <w:rsid w:val="00390232"/>
    <w:rsid w:val="003913CE"/>
    <w:rsid w:val="00397BA1"/>
    <w:rsid w:val="00397F3C"/>
    <w:rsid w:val="003A7323"/>
    <w:rsid w:val="003B0C47"/>
    <w:rsid w:val="003B164A"/>
    <w:rsid w:val="003B6144"/>
    <w:rsid w:val="003B6161"/>
    <w:rsid w:val="003B6678"/>
    <w:rsid w:val="003C4F30"/>
    <w:rsid w:val="003D40CC"/>
    <w:rsid w:val="003D6A1E"/>
    <w:rsid w:val="003D7F93"/>
    <w:rsid w:val="003E029C"/>
    <w:rsid w:val="003E0AED"/>
    <w:rsid w:val="003F544B"/>
    <w:rsid w:val="003F759D"/>
    <w:rsid w:val="004011AB"/>
    <w:rsid w:val="00401706"/>
    <w:rsid w:val="00401FA8"/>
    <w:rsid w:val="004043A8"/>
    <w:rsid w:val="00413F8D"/>
    <w:rsid w:val="0041458F"/>
    <w:rsid w:val="00415AF1"/>
    <w:rsid w:val="00417722"/>
    <w:rsid w:val="004201F2"/>
    <w:rsid w:val="0042023D"/>
    <w:rsid w:val="004221C1"/>
    <w:rsid w:val="00426201"/>
    <w:rsid w:val="00433147"/>
    <w:rsid w:val="00434086"/>
    <w:rsid w:val="00442A42"/>
    <w:rsid w:val="00444E5E"/>
    <w:rsid w:val="00451468"/>
    <w:rsid w:val="004516E4"/>
    <w:rsid w:val="00470201"/>
    <w:rsid w:val="004702D5"/>
    <w:rsid w:val="00473CD5"/>
    <w:rsid w:val="00475A79"/>
    <w:rsid w:val="00480E34"/>
    <w:rsid w:val="00482C3D"/>
    <w:rsid w:val="00483A63"/>
    <w:rsid w:val="004852C2"/>
    <w:rsid w:val="00491C25"/>
    <w:rsid w:val="00493748"/>
    <w:rsid w:val="00494CA1"/>
    <w:rsid w:val="004A00B9"/>
    <w:rsid w:val="004A0D2A"/>
    <w:rsid w:val="004A5EDB"/>
    <w:rsid w:val="004A7B10"/>
    <w:rsid w:val="004B7812"/>
    <w:rsid w:val="004C0979"/>
    <w:rsid w:val="004C249A"/>
    <w:rsid w:val="004C3DC2"/>
    <w:rsid w:val="004C7759"/>
    <w:rsid w:val="004D0F1E"/>
    <w:rsid w:val="004D730B"/>
    <w:rsid w:val="004E0DDA"/>
    <w:rsid w:val="004E2242"/>
    <w:rsid w:val="004E4627"/>
    <w:rsid w:val="004E4914"/>
    <w:rsid w:val="004F0AAB"/>
    <w:rsid w:val="004F4ACD"/>
    <w:rsid w:val="004F4D85"/>
    <w:rsid w:val="00505F1A"/>
    <w:rsid w:val="00526C7A"/>
    <w:rsid w:val="005336DC"/>
    <w:rsid w:val="00536174"/>
    <w:rsid w:val="0053650D"/>
    <w:rsid w:val="0054467E"/>
    <w:rsid w:val="00545DC1"/>
    <w:rsid w:val="00550A25"/>
    <w:rsid w:val="00552122"/>
    <w:rsid w:val="0055525C"/>
    <w:rsid w:val="0056135A"/>
    <w:rsid w:val="005643B5"/>
    <w:rsid w:val="00570E07"/>
    <w:rsid w:val="00576193"/>
    <w:rsid w:val="0058437A"/>
    <w:rsid w:val="00593024"/>
    <w:rsid w:val="00593129"/>
    <w:rsid w:val="00596A93"/>
    <w:rsid w:val="005975EF"/>
    <w:rsid w:val="005A736F"/>
    <w:rsid w:val="005A7AC0"/>
    <w:rsid w:val="005B0B5C"/>
    <w:rsid w:val="005B269A"/>
    <w:rsid w:val="005C01EA"/>
    <w:rsid w:val="005C6BF0"/>
    <w:rsid w:val="005E12BE"/>
    <w:rsid w:val="005E1DBC"/>
    <w:rsid w:val="005E4A07"/>
    <w:rsid w:val="005F646B"/>
    <w:rsid w:val="005F64CD"/>
    <w:rsid w:val="00606AAC"/>
    <w:rsid w:val="00612CFC"/>
    <w:rsid w:val="0062614B"/>
    <w:rsid w:val="00632762"/>
    <w:rsid w:val="006373B3"/>
    <w:rsid w:val="00641A24"/>
    <w:rsid w:val="00645686"/>
    <w:rsid w:val="00656C89"/>
    <w:rsid w:val="0066346D"/>
    <w:rsid w:val="00663CB6"/>
    <w:rsid w:val="006665A8"/>
    <w:rsid w:val="006700BE"/>
    <w:rsid w:val="00676760"/>
    <w:rsid w:val="00681967"/>
    <w:rsid w:val="00686C1C"/>
    <w:rsid w:val="0069638B"/>
    <w:rsid w:val="006A04E3"/>
    <w:rsid w:val="006A0C0F"/>
    <w:rsid w:val="006A109C"/>
    <w:rsid w:val="006C0427"/>
    <w:rsid w:val="006C3D1D"/>
    <w:rsid w:val="006C5090"/>
    <w:rsid w:val="006C6859"/>
    <w:rsid w:val="006D3308"/>
    <w:rsid w:val="006D7475"/>
    <w:rsid w:val="006E492B"/>
    <w:rsid w:val="00700EAD"/>
    <w:rsid w:val="007014EC"/>
    <w:rsid w:val="00701E96"/>
    <w:rsid w:val="007163E9"/>
    <w:rsid w:val="00720916"/>
    <w:rsid w:val="00721C13"/>
    <w:rsid w:val="00723B17"/>
    <w:rsid w:val="00723D8E"/>
    <w:rsid w:val="00733BBA"/>
    <w:rsid w:val="007347D9"/>
    <w:rsid w:val="00734BA0"/>
    <w:rsid w:val="007356FC"/>
    <w:rsid w:val="00735738"/>
    <w:rsid w:val="00740315"/>
    <w:rsid w:val="0074614C"/>
    <w:rsid w:val="0075793D"/>
    <w:rsid w:val="00764274"/>
    <w:rsid w:val="0076698D"/>
    <w:rsid w:val="00781802"/>
    <w:rsid w:val="00781883"/>
    <w:rsid w:val="0078562D"/>
    <w:rsid w:val="007869AD"/>
    <w:rsid w:val="007933B2"/>
    <w:rsid w:val="007A47C2"/>
    <w:rsid w:val="007A5E10"/>
    <w:rsid w:val="007B32E0"/>
    <w:rsid w:val="007C2B43"/>
    <w:rsid w:val="007C2C7A"/>
    <w:rsid w:val="007C5E19"/>
    <w:rsid w:val="007D51AC"/>
    <w:rsid w:val="007F4710"/>
    <w:rsid w:val="00802930"/>
    <w:rsid w:val="0081026A"/>
    <w:rsid w:val="00813B6F"/>
    <w:rsid w:val="008250A7"/>
    <w:rsid w:val="00827BC0"/>
    <w:rsid w:val="00835C76"/>
    <w:rsid w:val="008401B6"/>
    <w:rsid w:val="0084407D"/>
    <w:rsid w:val="0085579B"/>
    <w:rsid w:val="0086519B"/>
    <w:rsid w:val="00871C17"/>
    <w:rsid w:val="00882861"/>
    <w:rsid w:val="008836A5"/>
    <w:rsid w:val="00884507"/>
    <w:rsid w:val="008973A1"/>
    <w:rsid w:val="008A3CEA"/>
    <w:rsid w:val="008B55D1"/>
    <w:rsid w:val="008B692C"/>
    <w:rsid w:val="008B74FF"/>
    <w:rsid w:val="008C04EE"/>
    <w:rsid w:val="008C1317"/>
    <w:rsid w:val="008C1AC3"/>
    <w:rsid w:val="008C4262"/>
    <w:rsid w:val="008D60A8"/>
    <w:rsid w:val="008D7FC2"/>
    <w:rsid w:val="008E272F"/>
    <w:rsid w:val="00900D8E"/>
    <w:rsid w:val="0092013A"/>
    <w:rsid w:val="00923241"/>
    <w:rsid w:val="009321EF"/>
    <w:rsid w:val="00932B8A"/>
    <w:rsid w:val="009364E1"/>
    <w:rsid w:val="00942B47"/>
    <w:rsid w:val="0094368D"/>
    <w:rsid w:val="00951269"/>
    <w:rsid w:val="009523B7"/>
    <w:rsid w:val="00962849"/>
    <w:rsid w:val="00964773"/>
    <w:rsid w:val="009763AA"/>
    <w:rsid w:val="009814DC"/>
    <w:rsid w:val="00983F26"/>
    <w:rsid w:val="00983F93"/>
    <w:rsid w:val="009941D0"/>
    <w:rsid w:val="00995669"/>
    <w:rsid w:val="00996890"/>
    <w:rsid w:val="00996E2D"/>
    <w:rsid w:val="00997B8F"/>
    <w:rsid w:val="009A27A2"/>
    <w:rsid w:val="009A7AC8"/>
    <w:rsid w:val="009B21A3"/>
    <w:rsid w:val="009B4847"/>
    <w:rsid w:val="009B71C8"/>
    <w:rsid w:val="009C79EC"/>
    <w:rsid w:val="009D1813"/>
    <w:rsid w:val="009D203F"/>
    <w:rsid w:val="009D6C30"/>
    <w:rsid w:val="009E5574"/>
    <w:rsid w:val="009F1C23"/>
    <w:rsid w:val="009F3058"/>
    <w:rsid w:val="009F692E"/>
    <w:rsid w:val="009F71B7"/>
    <w:rsid w:val="009F7FA7"/>
    <w:rsid w:val="00A05775"/>
    <w:rsid w:val="00A12A8A"/>
    <w:rsid w:val="00A20646"/>
    <w:rsid w:val="00A211B7"/>
    <w:rsid w:val="00A36547"/>
    <w:rsid w:val="00A36B8F"/>
    <w:rsid w:val="00A43902"/>
    <w:rsid w:val="00A46CFC"/>
    <w:rsid w:val="00A60322"/>
    <w:rsid w:val="00A631B6"/>
    <w:rsid w:val="00A8191B"/>
    <w:rsid w:val="00A85BF5"/>
    <w:rsid w:val="00A90C1B"/>
    <w:rsid w:val="00A92B30"/>
    <w:rsid w:val="00AA1821"/>
    <w:rsid w:val="00AB2707"/>
    <w:rsid w:val="00AC52F6"/>
    <w:rsid w:val="00AC6858"/>
    <w:rsid w:val="00AD0494"/>
    <w:rsid w:val="00AD0A00"/>
    <w:rsid w:val="00AD286B"/>
    <w:rsid w:val="00AD4B79"/>
    <w:rsid w:val="00AD52D9"/>
    <w:rsid w:val="00AD777C"/>
    <w:rsid w:val="00AD7FC5"/>
    <w:rsid w:val="00AE53CD"/>
    <w:rsid w:val="00AE7825"/>
    <w:rsid w:val="00AF4836"/>
    <w:rsid w:val="00AF53CD"/>
    <w:rsid w:val="00B00D40"/>
    <w:rsid w:val="00B0246C"/>
    <w:rsid w:val="00B04CAB"/>
    <w:rsid w:val="00B24DC9"/>
    <w:rsid w:val="00B310D1"/>
    <w:rsid w:val="00B371E6"/>
    <w:rsid w:val="00B560FD"/>
    <w:rsid w:val="00B5738A"/>
    <w:rsid w:val="00B609A2"/>
    <w:rsid w:val="00B63F8D"/>
    <w:rsid w:val="00B665AE"/>
    <w:rsid w:val="00B6686F"/>
    <w:rsid w:val="00B71447"/>
    <w:rsid w:val="00B719CD"/>
    <w:rsid w:val="00B74959"/>
    <w:rsid w:val="00B75BB3"/>
    <w:rsid w:val="00B77878"/>
    <w:rsid w:val="00B80320"/>
    <w:rsid w:val="00B8328F"/>
    <w:rsid w:val="00B96639"/>
    <w:rsid w:val="00BA4670"/>
    <w:rsid w:val="00BA5E2D"/>
    <w:rsid w:val="00BB240C"/>
    <w:rsid w:val="00BB5D9D"/>
    <w:rsid w:val="00BC3D6F"/>
    <w:rsid w:val="00BD345D"/>
    <w:rsid w:val="00BD5E2A"/>
    <w:rsid w:val="00BD636E"/>
    <w:rsid w:val="00BD74BA"/>
    <w:rsid w:val="00BD7AD9"/>
    <w:rsid w:val="00BE0747"/>
    <w:rsid w:val="00BE360F"/>
    <w:rsid w:val="00BF0450"/>
    <w:rsid w:val="00BF553D"/>
    <w:rsid w:val="00C12408"/>
    <w:rsid w:val="00C31321"/>
    <w:rsid w:val="00C32B27"/>
    <w:rsid w:val="00C41A3F"/>
    <w:rsid w:val="00C475EC"/>
    <w:rsid w:val="00C47A63"/>
    <w:rsid w:val="00C47D77"/>
    <w:rsid w:val="00C54889"/>
    <w:rsid w:val="00C54D4D"/>
    <w:rsid w:val="00C60515"/>
    <w:rsid w:val="00C627F7"/>
    <w:rsid w:val="00C65E49"/>
    <w:rsid w:val="00C6753F"/>
    <w:rsid w:val="00C70FC8"/>
    <w:rsid w:val="00C77819"/>
    <w:rsid w:val="00C80DC6"/>
    <w:rsid w:val="00C943F2"/>
    <w:rsid w:val="00CC15DD"/>
    <w:rsid w:val="00CD6228"/>
    <w:rsid w:val="00CD772C"/>
    <w:rsid w:val="00CE6EE5"/>
    <w:rsid w:val="00CF0AE1"/>
    <w:rsid w:val="00CF1B6A"/>
    <w:rsid w:val="00D03761"/>
    <w:rsid w:val="00D05841"/>
    <w:rsid w:val="00D071DF"/>
    <w:rsid w:val="00D101C2"/>
    <w:rsid w:val="00D10955"/>
    <w:rsid w:val="00D14917"/>
    <w:rsid w:val="00D2127A"/>
    <w:rsid w:val="00D26CB5"/>
    <w:rsid w:val="00D31555"/>
    <w:rsid w:val="00D33C21"/>
    <w:rsid w:val="00D42DD4"/>
    <w:rsid w:val="00D5186F"/>
    <w:rsid w:val="00D5620E"/>
    <w:rsid w:val="00D60F30"/>
    <w:rsid w:val="00D70B19"/>
    <w:rsid w:val="00D731A5"/>
    <w:rsid w:val="00D75940"/>
    <w:rsid w:val="00D7681B"/>
    <w:rsid w:val="00D831C4"/>
    <w:rsid w:val="00D91DE1"/>
    <w:rsid w:val="00D97329"/>
    <w:rsid w:val="00DA0F5E"/>
    <w:rsid w:val="00DA2609"/>
    <w:rsid w:val="00DA6324"/>
    <w:rsid w:val="00DB6357"/>
    <w:rsid w:val="00DC2D58"/>
    <w:rsid w:val="00DC54AB"/>
    <w:rsid w:val="00DD0985"/>
    <w:rsid w:val="00DD2F09"/>
    <w:rsid w:val="00DD3AFC"/>
    <w:rsid w:val="00DD7216"/>
    <w:rsid w:val="00DE2CA5"/>
    <w:rsid w:val="00DE3E46"/>
    <w:rsid w:val="00DE405E"/>
    <w:rsid w:val="00DE74DC"/>
    <w:rsid w:val="00E011E9"/>
    <w:rsid w:val="00E01298"/>
    <w:rsid w:val="00E01F24"/>
    <w:rsid w:val="00E03411"/>
    <w:rsid w:val="00E0464E"/>
    <w:rsid w:val="00E11967"/>
    <w:rsid w:val="00E16D65"/>
    <w:rsid w:val="00E24A09"/>
    <w:rsid w:val="00E30AE3"/>
    <w:rsid w:val="00E3233E"/>
    <w:rsid w:val="00E4047F"/>
    <w:rsid w:val="00E46151"/>
    <w:rsid w:val="00E46B0F"/>
    <w:rsid w:val="00E4796F"/>
    <w:rsid w:val="00E50AF2"/>
    <w:rsid w:val="00E5309E"/>
    <w:rsid w:val="00E53C45"/>
    <w:rsid w:val="00E55DDE"/>
    <w:rsid w:val="00E63995"/>
    <w:rsid w:val="00E724AC"/>
    <w:rsid w:val="00E75546"/>
    <w:rsid w:val="00E9446E"/>
    <w:rsid w:val="00EA3E4C"/>
    <w:rsid w:val="00EA738E"/>
    <w:rsid w:val="00EB014F"/>
    <w:rsid w:val="00EB1984"/>
    <w:rsid w:val="00EB2395"/>
    <w:rsid w:val="00EB358E"/>
    <w:rsid w:val="00EC32E3"/>
    <w:rsid w:val="00EC3891"/>
    <w:rsid w:val="00EC75EF"/>
    <w:rsid w:val="00ED03E3"/>
    <w:rsid w:val="00ED13F5"/>
    <w:rsid w:val="00ED700A"/>
    <w:rsid w:val="00EE245B"/>
    <w:rsid w:val="00EE719A"/>
    <w:rsid w:val="00EF5A3F"/>
    <w:rsid w:val="00F07EDA"/>
    <w:rsid w:val="00F11180"/>
    <w:rsid w:val="00F123BD"/>
    <w:rsid w:val="00F14176"/>
    <w:rsid w:val="00F15608"/>
    <w:rsid w:val="00F16794"/>
    <w:rsid w:val="00F174AB"/>
    <w:rsid w:val="00F217C1"/>
    <w:rsid w:val="00F2355E"/>
    <w:rsid w:val="00F27D61"/>
    <w:rsid w:val="00F35471"/>
    <w:rsid w:val="00F358DE"/>
    <w:rsid w:val="00F45716"/>
    <w:rsid w:val="00F673ED"/>
    <w:rsid w:val="00F918D3"/>
    <w:rsid w:val="00F936A5"/>
    <w:rsid w:val="00FA32C2"/>
    <w:rsid w:val="00FA4BFB"/>
    <w:rsid w:val="00FA5BCB"/>
    <w:rsid w:val="00FB3718"/>
    <w:rsid w:val="00FB670E"/>
    <w:rsid w:val="00FE7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1D9BB"/>
  <w15:docId w15:val="{C0454996-E6A4-4209-83E5-5B62A1C4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0979"/>
    <w:rPr>
      <w:color w:val="000000"/>
      <w:lang w:val="en-GB"/>
    </w:rPr>
  </w:style>
  <w:style w:type="paragraph" w:styleId="Heading1">
    <w:name w:val="heading 1"/>
    <w:basedOn w:val="Normal"/>
    <w:next w:val="Normal"/>
    <w:link w:val="Heading1Char"/>
    <w:uiPriority w:val="9"/>
    <w:qFormat/>
    <w:rsid w:val="00766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5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10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
    <w:name w:val="Footnote (2)_"/>
    <w:basedOn w:val="DefaultParagraphFont"/>
    <w:link w:val="Footnote21"/>
    <w:rsid w:val="0062614B"/>
    <w:rPr>
      <w:b w:val="0"/>
      <w:bCs w:val="0"/>
      <w:i w:val="0"/>
      <w:iCs w:val="0"/>
      <w:smallCaps w:val="0"/>
      <w:strike w:val="0"/>
      <w:sz w:val="20"/>
      <w:szCs w:val="20"/>
      <w:u w:val="none"/>
    </w:rPr>
  </w:style>
  <w:style w:type="character" w:customStyle="1" w:styleId="Footnote20">
    <w:name w:val="Footnote (2)"/>
    <w:basedOn w:val="Footnote2"/>
    <w:rsid w:val="0062614B"/>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en-US" w:eastAsia="en-US" w:bidi="en-US"/>
    </w:rPr>
  </w:style>
  <w:style w:type="character" w:customStyle="1" w:styleId="Footnote3">
    <w:name w:val="Footnote (3)_"/>
    <w:basedOn w:val="DefaultParagraphFont"/>
    <w:link w:val="Footnote31"/>
    <w:rsid w:val="0062614B"/>
    <w:rPr>
      <w:b w:val="0"/>
      <w:bCs w:val="0"/>
      <w:i w:val="0"/>
      <w:iCs w:val="0"/>
      <w:smallCaps w:val="0"/>
      <w:strike w:val="0"/>
      <w:sz w:val="19"/>
      <w:szCs w:val="19"/>
      <w:u w:val="none"/>
    </w:rPr>
  </w:style>
  <w:style w:type="character" w:customStyle="1" w:styleId="Footnote30">
    <w:name w:val="Footnote (3)"/>
    <w:basedOn w:val="Footnote3"/>
    <w:rsid w:val="0062614B"/>
    <w:rPr>
      <w:rFonts w:ascii="Times New Roman" w:eastAsia="Times New Roman" w:hAnsi="Times New Roman" w:cs="Times New Roman"/>
      <w:b w:val="0"/>
      <w:bCs w:val="0"/>
      <w:i w:val="0"/>
      <w:iCs w:val="0"/>
      <w:smallCaps w:val="0"/>
      <w:strike w:val="0"/>
      <w:color w:val="0000FF"/>
      <w:spacing w:val="0"/>
      <w:w w:val="100"/>
      <w:position w:val="0"/>
      <w:sz w:val="19"/>
      <w:szCs w:val="19"/>
      <w:u w:val="single"/>
      <w:lang w:val="en-US" w:eastAsia="en-US" w:bidi="en-US"/>
    </w:rPr>
  </w:style>
  <w:style w:type="character" w:customStyle="1" w:styleId="Footnote">
    <w:name w:val="Footnote_"/>
    <w:basedOn w:val="DefaultParagraphFont"/>
    <w:link w:val="Footnote1"/>
    <w:rsid w:val="0062614B"/>
    <w:rPr>
      <w:b w:val="0"/>
      <w:bCs w:val="0"/>
      <w:i w:val="0"/>
      <w:iCs w:val="0"/>
      <w:smallCaps w:val="0"/>
      <w:strike w:val="0"/>
      <w:sz w:val="22"/>
      <w:szCs w:val="22"/>
      <w:u w:val="none"/>
    </w:rPr>
  </w:style>
  <w:style w:type="character" w:customStyle="1" w:styleId="Footnote4">
    <w:name w:val="Footnote (4)_"/>
    <w:basedOn w:val="DefaultParagraphFont"/>
    <w:link w:val="Footnote40"/>
    <w:rsid w:val="0062614B"/>
    <w:rPr>
      <w:b/>
      <w:bCs/>
      <w:i/>
      <w:iCs/>
      <w:smallCaps w:val="0"/>
      <w:strike w:val="0"/>
      <w:u w:val="none"/>
    </w:rPr>
  </w:style>
  <w:style w:type="character" w:customStyle="1" w:styleId="FootnoteBold">
    <w:name w:val="Footnote + Bold"/>
    <w:basedOn w:val="Footnote"/>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Footnote0">
    <w:name w:val="Footnote"/>
    <w:basedOn w:val="Footnote"/>
    <w:rsid w:val="0062614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Footnote5">
    <w:name w:val="Footnote5"/>
    <w:basedOn w:val="Footnote"/>
    <w:rsid w:val="0062614B"/>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Footnote41">
    <w:name w:val="Footnote4"/>
    <w:basedOn w:val="Footnote"/>
    <w:rsid w:val="0062614B"/>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Footnote32">
    <w:name w:val="Footnote3"/>
    <w:basedOn w:val="Footnote"/>
    <w:rsid w:val="0062614B"/>
    <w:rPr>
      <w:rFonts w:ascii="Times New Roman" w:eastAsia="Times New Roman" w:hAnsi="Times New Roman" w:cs="Times New Roman"/>
      <w:b w:val="0"/>
      <w:bCs w:val="0"/>
      <w:i w:val="0"/>
      <w:iCs w:val="0"/>
      <w:smallCaps w:val="0"/>
      <w:strike w:val="0"/>
      <w:color w:val="002060"/>
      <w:spacing w:val="0"/>
      <w:w w:val="100"/>
      <w:position w:val="0"/>
      <w:sz w:val="22"/>
      <w:szCs w:val="22"/>
      <w:u w:val="single"/>
      <w:lang w:val="en-US" w:eastAsia="en-US" w:bidi="en-US"/>
    </w:rPr>
  </w:style>
  <w:style w:type="character" w:customStyle="1" w:styleId="Footnote22">
    <w:name w:val="Footnote2"/>
    <w:basedOn w:val="Footnote"/>
    <w:rsid w:val="0062614B"/>
    <w:rPr>
      <w:rFonts w:ascii="Times New Roman" w:eastAsia="Times New Roman" w:hAnsi="Times New Roman" w:cs="Times New Roman"/>
      <w:b w:val="0"/>
      <w:bCs w:val="0"/>
      <w:i w:val="0"/>
      <w:iCs w:val="0"/>
      <w:smallCaps w:val="0"/>
      <w:strike w:val="0"/>
      <w:color w:val="002060"/>
      <w:spacing w:val="0"/>
      <w:w w:val="100"/>
      <w:position w:val="0"/>
      <w:sz w:val="22"/>
      <w:szCs w:val="22"/>
      <w:u w:val="none"/>
      <w:lang w:val="en-US" w:eastAsia="en-US" w:bidi="en-US"/>
    </w:rPr>
  </w:style>
  <w:style w:type="character" w:customStyle="1" w:styleId="Headerorfooter">
    <w:name w:val="Header or footer_"/>
    <w:basedOn w:val="DefaultParagraphFont"/>
    <w:link w:val="Headerorfooter1"/>
    <w:rsid w:val="0062614B"/>
    <w:rPr>
      <w:b/>
      <w:bCs/>
      <w:i w:val="0"/>
      <w:iCs w:val="0"/>
      <w:smallCaps w:val="0"/>
      <w:strike w:val="0"/>
      <w:sz w:val="17"/>
      <w:szCs w:val="17"/>
      <w:u w:val="none"/>
    </w:rPr>
  </w:style>
  <w:style w:type="character" w:customStyle="1" w:styleId="Headerorfooter0">
    <w:name w:val="Header or footer"/>
    <w:basedOn w:val="Headerorfooter"/>
    <w:rsid w:val="0062614B"/>
    <w:rPr>
      <w:rFonts w:ascii="Times New Roman" w:eastAsia="Times New Roman" w:hAnsi="Times New Roman" w:cs="Times New Roman"/>
      <w:b/>
      <w:bCs/>
      <w:i w:val="0"/>
      <w:iCs w:val="0"/>
      <w:smallCaps w:val="0"/>
      <w:strike w:val="0"/>
      <w:color w:val="000000"/>
      <w:spacing w:val="0"/>
      <w:w w:val="100"/>
      <w:position w:val="0"/>
      <w:sz w:val="17"/>
      <w:szCs w:val="17"/>
      <w:u w:val="none"/>
      <w:lang w:val="en-US" w:eastAsia="en-US" w:bidi="en-US"/>
    </w:rPr>
  </w:style>
  <w:style w:type="character" w:customStyle="1" w:styleId="Headerorfooter9pt">
    <w:name w:val="Header or footer + 9 pt"/>
    <w:aliases w:val="Not Bold"/>
    <w:basedOn w:val="Headerorfooter"/>
    <w:rsid w:val="0062614B"/>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3">
    <w:name w:val="Body text (3)_"/>
    <w:basedOn w:val="DefaultParagraphFont"/>
    <w:link w:val="Bodytext30"/>
    <w:rsid w:val="0062614B"/>
    <w:rPr>
      <w:b w:val="0"/>
      <w:bCs w:val="0"/>
      <w:i w:val="0"/>
      <w:iCs w:val="0"/>
      <w:smallCaps w:val="0"/>
      <w:strike w:val="0"/>
      <w:sz w:val="20"/>
      <w:szCs w:val="20"/>
      <w:u w:val="none"/>
    </w:rPr>
  </w:style>
  <w:style w:type="character" w:customStyle="1" w:styleId="Bodytext316pt">
    <w:name w:val="Body text (3) + 16 pt"/>
    <w:aliases w:val="Bold"/>
    <w:basedOn w:val="Bodytext3"/>
    <w:rsid w:val="0062614B"/>
    <w:rPr>
      <w:rFonts w:ascii="Times New Roman" w:eastAsia="Times New Roman" w:hAnsi="Times New Roman" w:cs="Times New Roman"/>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_"/>
    <w:basedOn w:val="DefaultParagraphFont"/>
    <w:link w:val="Heading11"/>
    <w:rsid w:val="0062614B"/>
    <w:rPr>
      <w:b/>
      <w:bCs/>
      <w:i w:val="0"/>
      <w:iCs w:val="0"/>
      <w:smallCaps w:val="0"/>
      <w:strike w:val="0"/>
      <w:sz w:val="32"/>
      <w:szCs w:val="32"/>
      <w:u w:val="none"/>
    </w:rPr>
  </w:style>
  <w:style w:type="character" w:customStyle="1" w:styleId="Bodytext311pt">
    <w:name w:val="Body text (3) + 11 pt"/>
    <w:aliases w:val="Bold3"/>
    <w:basedOn w:val="Bodytext3"/>
    <w:rsid w:val="0062614B"/>
    <w:rPr>
      <w:rFonts w:ascii="Times New Roman" w:eastAsia="Times New Roman" w:hAnsi="Times New Roman" w:cs="Times New Roman"/>
      <w:b/>
      <w:bCs/>
      <w:i w:val="0"/>
      <w:iCs w:val="0"/>
      <w:smallCaps w:val="0"/>
      <w:strike w:val="0"/>
      <w:color w:val="0000FF"/>
      <w:spacing w:val="0"/>
      <w:w w:val="100"/>
      <w:position w:val="0"/>
      <w:sz w:val="22"/>
      <w:szCs w:val="22"/>
      <w:u w:val="single"/>
      <w:lang w:val="en-US" w:eastAsia="en-US" w:bidi="en-US"/>
    </w:rPr>
  </w:style>
  <w:style w:type="character" w:customStyle="1" w:styleId="Bodytext311pt1">
    <w:name w:val="Body text (3) + 11 pt1"/>
    <w:aliases w:val="Bold2"/>
    <w:basedOn w:val="Bodytext3"/>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DefaultParagraphFont"/>
    <w:link w:val="Bodytext40"/>
    <w:rsid w:val="0062614B"/>
    <w:rPr>
      <w:b/>
      <w:bCs/>
      <w:i/>
      <w:iCs/>
      <w:smallCaps w:val="0"/>
      <w:strike w:val="0"/>
      <w:sz w:val="22"/>
      <w:szCs w:val="22"/>
      <w:u w:val="none"/>
    </w:rPr>
  </w:style>
  <w:style w:type="character" w:customStyle="1" w:styleId="Bodytext5">
    <w:name w:val="Body text (5)_"/>
    <w:basedOn w:val="DefaultParagraphFont"/>
    <w:link w:val="Bodytext51"/>
    <w:rsid w:val="0062614B"/>
    <w:rPr>
      <w:b/>
      <w:bCs/>
      <w:i w:val="0"/>
      <w:iCs w:val="0"/>
      <w:smallCaps w:val="0"/>
      <w:strike w:val="0"/>
      <w:sz w:val="22"/>
      <w:szCs w:val="22"/>
      <w:u w:val="none"/>
    </w:rPr>
  </w:style>
  <w:style w:type="character" w:customStyle="1" w:styleId="Bodytext2">
    <w:name w:val="Body text (2)_"/>
    <w:basedOn w:val="DefaultParagraphFont"/>
    <w:link w:val="Bodytext21"/>
    <w:rsid w:val="0062614B"/>
    <w:rPr>
      <w:b w:val="0"/>
      <w:bCs w:val="0"/>
      <w:i w:val="0"/>
      <w:iCs w:val="0"/>
      <w:smallCaps w:val="0"/>
      <w:strike w:val="0"/>
      <w:sz w:val="22"/>
      <w:szCs w:val="22"/>
      <w:u w:val="none"/>
    </w:rPr>
  </w:style>
  <w:style w:type="character" w:customStyle="1" w:styleId="Bodytext5NotBold">
    <w:name w:val="Body text (5) + Not Bold"/>
    <w:basedOn w:val="Bodytext5"/>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Bold">
    <w:name w:val="Body text (2) + Bold"/>
    <w:basedOn w:val="Bodytext2"/>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0">
    <w:name w:val="Body text (2)"/>
    <w:basedOn w:val="Bodytext2"/>
    <w:rsid w:val="0062614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6">
    <w:name w:val="Body text (6)_"/>
    <w:basedOn w:val="DefaultParagraphFont"/>
    <w:link w:val="Bodytext60"/>
    <w:rsid w:val="0062614B"/>
    <w:rPr>
      <w:b w:val="0"/>
      <w:bCs w:val="0"/>
      <w:i w:val="0"/>
      <w:iCs w:val="0"/>
      <w:smallCaps w:val="0"/>
      <w:strike w:val="0"/>
      <w:sz w:val="32"/>
      <w:szCs w:val="32"/>
      <w:u w:val="none"/>
      <w:lang w:val="fr-FR" w:eastAsia="fr-FR" w:bidi="fr-FR"/>
    </w:rPr>
  </w:style>
  <w:style w:type="character" w:customStyle="1" w:styleId="Tableofcontents2">
    <w:name w:val="Table of contents (2)_"/>
    <w:basedOn w:val="DefaultParagraphFont"/>
    <w:link w:val="Tableofcontents21"/>
    <w:rsid w:val="0062614B"/>
    <w:rPr>
      <w:b w:val="0"/>
      <w:bCs w:val="0"/>
      <w:i w:val="0"/>
      <w:iCs w:val="0"/>
      <w:smallCaps w:val="0"/>
      <w:strike w:val="0"/>
      <w:sz w:val="22"/>
      <w:szCs w:val="22"/>
      <w:u w:val="none"/>
    </w:rPr>
  </w:style>
  <w:style w:type="character" w:customStyle="1" w:styleId="TOC2Char">
    <w:name w:val="TOC 2 Char"/>
    <w:basedOn w:val="DefaultParagraphFont"/>
    <w:link w:val="TOC2"/>
    <w:uiPriority w:val="39"/>
    <w:rsid w:val="006C5090"/>
    <w:rPr>
      <w:b/>
      <w:bCs/>
      <w:color w:val="000000"/>
      <w:sz w:val="22"/>
      <w:szCs w:val="22"/>
      <w:shd w:val="clear" w:color="auto" w:fill="FFFFFF"/>
      <w:lang w:val="en-GB"/>
    </w:rPr>
  </w:style>
  <w:style w:type="character" w:customStyle="1" w:styleId="Tableofcontents">
    <w:name w:val="Table of contents_"/>
    <w:basedOn w:val="DefaultParagraphFont"/>
    <w:link w:val="Tableofcontents1"/>
    <w:rsid w:val="0062614B"/>
    <w:rPr>
      <w:b w:val="0"/>
      <w:bCs w:val="0"/>
      <w:i w:val="0"/>
      <w:iCs w:val="0"/>
      <w:smallCaps w:val="0"/>
      <w:strike w:val="0"/>
      <w:sz w:val="19"/>
      <w:szCs w:val="19"/>
      <w:u w:val="none"/>
    </w:rPr>
  </w:style>
  <w:style w:type="character" w:customStyle="1" w:styleId="TableofcontentsBold">
    <w:name w:val="Table of contents + Bold"/>
    <w:basedOn w:val="Tableofcontents"/>
    <w:rsid w:val="0062614B"/>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Tableofcontents0">
    <w:name w:val="Table of contents"/>
    <w:basedOn w:val="Tableofcontents"/>
    <w:rsid w:val="0062614B"/>
    <w:rPr>
      <w:rFonts w:ascii="Times New Roman" w:eastAsia="Times New Roman" w:hAnsi="Times New Roman" w:cs="Times New Roman"/>
      <w:b w:val="0"/>
      <w:bCs w:val="0"/>
      <w:i w:val="0"/>
      <w:iCs w:val="0"/>
      <w:smallCaps w:val="0"/>
      <w:strike w:val="0"/>
      <w:color w:val="B8B8B8"/>
      <w:spacing w:val="0"/>
      <w:w w:val="100"/>
      <w:position w:val="0"/>
      <w:sz w:val="19"/>
      <w:szCs w:val="19"/>
      <w:u w:val="none"/>
    </w:rPr>
  </w:style>
  <w:style w:type="character" w:customStyle="1" w:styleId="Tableofcontents20">
    <w:name w:val="Table of contents (2)"/>
    <w:basedOn w:val="Tableofcontents2"/>
    <w:rsid w:val="0062614B"/>
    <w:rPr>
      <w:rFonts w:ascii="Times New Roman" w:eastAsia="Times New Roman" w:hAnsi="Times New Roman" w:cs="Times New Roman"/>
      <w:b w:val="0"/>
      <w:bCs w:val="0"/>
      <w:i w:val="0"/>
      <w:iCs w:val="0"/>
      <w:smallCaps w:val="0"/>
      <w:strike w:val="0"/>
      <w:color w:val="B8B8B8"/>
      <w:spacing w:val="0"/>
      <w:w w:val="100"/>
      <w:position w:val="0"/>
      <w:sz w:val="22"/>
      <w:szCs w:val="22"/>
      <w:u w:val="none"/>
    </w:rPr>
  </w:style>
  <w:style w:type="character" w:customStyle="1" w:styleId="Bodytext2Exact">
    <w:name w:val="Body text (2) Exact"/>
    <w:basedOn w:val="DefaultParagraphFont"/>
    <w:rsid w:val="0062614B"/>
    <w:rPr>
      <w:b w:val="0"/>
      <w:bCs w:val="0"/>
      <w:i w:val="0"/>
      <w:iCs w:val="0"/>
      <w:smallCaps w:val="0"/>
      <w:strike w:val="0"/>
      <w:sz w:val="22"/>
      <w:szCs w:val="22"/>
      <w:u w:val="none"/>
    </w:rPr>
  </w:style>
  <w:style w:type="character" w:customStyle="1" w:styleId="Heading20">
    <w:name w:val="Heading #2_"/>
    <w:basedOn w:val="DefaultParagraphFont"/>
    <w:link w:val="Heading21"/>
    <w:rsid w:val="0062614B"/>
    <w:rPr>
      <w:b/>
      <w:bCs/>
      <w:i w:val="0"/>
      <w:iCs w:val="0"/>
      <w:smallCaps w:val="0"/>
      <w:strike w:val="0"/>
      <w:sz w:val="22"/>
      <w:szCs w:val="22"/>
      <w:u w:val="none"/>
    </w:rPr>
  </w:style>
  <w:style w:type="character" w:customStyle="1" w:styleId="Bodytext711pt">
    <w:name w:val="Body text (7) + 11 pt"/>
    <w:basedOn w:val="Bodytext7"/>
    <w:rsid w:val="0062614B"/>
    <w:rPr>
      <w:b/>
      <w:bCs/>
      <w:i w:val="0"/>
      <w:iCs w:val="0"/>
      <w:smallCaps w:val="0"/>
      <w:strike w:val="0"/>
      <w:sz w:val="22"/>
      <w:szCs w:val="22"/>
      <w:u w:val="none"/>
    </w:rPr>
  </w:style>
  <w:style w:type="character" w:customStyle="1" w:styleId="Bodytext7SmallCaps">
    <w:name w:val="Body text (7) + Small Caps"/>
    <w:basedOn w:val="Bodytext7"/>
    <w:rsid w:val="0062614B"/>
    <w:rPr>
      <w:b/>
      <w:bCs/>
      <w:i w:val="0"/>
      <w:iCs w:val="0"/>
      <w:smallCaps/>
      <w:strike w:val="0"/>
      <w:sz w:val="18"/>
      <w:szCs w:val="18"/>
      <w:u w:val="none"/>
    </w:rPr>
  </w:style>
  <w:style w:type="character" w:customStyle="1" w:styleId="Bodytext28">
    <w:name w:val="Body text (2)8"/>
    <w:basedOn w:val="Bodytext2"/>
    <w:rsid w:val="0062614B"/>
    <w:rPr>
      <w:rFonts w:ascii="Times New Roman" w:eastAsia="Times New Roman" w:hAnsi="Times New Roman" w:cs="Times New Roman"/>
      <w:b w:val="0"/>
      <w:bCs w:val="0"/>
      <w:i w:val="0"/>
      <w:iCs w:val="0"/>
      <w:smallCaps w:val="0"/>
      <w:strike w:val="0"/>
      <w:color w:val="CCCC0B"/>
      <w:spacing w:val="0"/>
      <w:w w:val="100"/>
      <w:position w:val="0"/>
      <w:sz w:val="22"/>
      <w:szCs w:val="22"/>
      <w:u w:val="none"/>
      <w:lang w:val="en-US" w:eastAsia="en-US" w:bidi="en-US"/>
    </w:rPr>
  </w:style>
  <w:style w:type="character" w:customStyle="1" w:styleId="Bodytext7">
    <w:name w:val="Body text (7)_"/>
    <w:basedOn w:val="DefaultParagraphFont"/>
    <w:link w:val="Bodytext70"/>
    <w:rsid w:val="0062614B"/>
    <w:rPr>
      <w:b/>
      <w:bCs/>
      <w:i w:val="0"/>
      <w:iCs w:val="0"/>
      <w:smallCaps w:val="0"/>
      <w:strike w:val="0"/>
      <w:sz w:val="18"/>
      <w:szCs w:val="18"/>
      <w:u w:val="none"/>
    </w:rPr>
  </w:style>
  <w:style w:type="character" w:customStyle="1" w:styleId="Bodytext2Bold2">
    <w:name w:val="Body text (2) + Bold2"/>
    <w:basedOn w:val="Bodytext2"/>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ing2NotBold">
    <w:name w:val="Heading #2 + Not Bold"/>
    <w:basedOn w:val="Heading20"/>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7">
    <w:name w:val="Body text (2)7"/>
    <w:basedOn w:val="Bodytext2"/>
    <w:rsid w:val="0062614B"/>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en-US" w:eastAsia="en-US" w:bidi="en-US"/>
    </w:rPr>
  </w:style>
  <w:style w:type="character" w:customStyle="1" w:styleId="Bodytext26">
    <w:name w:val="Body text (2)6"/>
    <w:basedOn w:val="Bodytext2"/>
    <w:rsid w:val="0062614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5NotBold1">
    <w:name w:val="Body text (5) + Not Bold1"/>
    <w:basedOn w:val="Bodytext5"/>
    <w:rsid w:val="0062614B"/>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50">
    <w:name w:val="Body text (5)"/>
    <w:basedOn w:val="Bodytext5"/>
    <w:rsid w:val="0062614B"/>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8">
    <w:name w:val="Body text (8)_"/>
    <w:basedOn w:val="DefaultParagraphFont"/>
    <w:link w:val="Bodytext80"/>
    <w:rsid w:val="0062614B"/>
    <w:rPr>
      <w:b/>
      <w:bCs/>
      <w:i/>
      <w:iCs/>
      <w:smallCaps w:val="0"/>
      <w:strike w:val="0"/>
      <w:u w:val="none"/>
    </w:rPr>
  </w:style>
  <w:style w:type="character" w:customStyle="1" w:styleId="Bodytext9">
    <w:name w:val="Body text (9)_"/>
    <w:basedOn w:val="DefaultParagraphFont"/>
    <w:link w:val="Bodytext90"/>
    <w:rsid w:val="0062614B"/>
    <w:rPr>
      <w:b w:val="0"/>
      <w:bCs w:val="0"/>
      <w:i w:val="0"/>
      <w:iCs w:val="0"/>
      <w:smallCaps w:val="0"/>
      <w:strike w:val="0"/>
      <w:sz w:val="19"/>
      <w:szCs w:val="19"/>
      <w:u w:val="none"/>
    </w:rPr>
  </w:style>
  <w:style w:type="character" w:customStyle="1" w:styleId="Bodytext25">
    <w:name w:val="Body text (2)5"/>
    <w:basedOn w:val="Bodytext2"/>
    <w:rsid w:val="0062614B"/>
    <w:rPr>
      <w:rFonts w:ascii="Times New Roman" w:eastAsia="Times New Roman" w:hAnsi="Times New Roman" w:cs="Times New Roman"/>
      <w:b w:val="0"/>
      <w:bCs w:val="0"/>
      <w:i w:val="0"/>
      <w:iCs w:val="0"/>
      <w:smallCaps w:val="0"/>
      <w:strike w:val="0"/>
      <w:color w:val="3E3E0E"/>
      <w:spacing w:val="0"/>
      <w:w w:val="100"/>
      <w:position w:val="0"/>
      <w:sz w:val="22"/>
      <w:szCs w:val="22"/>
      <w:u w:val="none"/>
      <w:lang w:val="en-US" w:eastAsia="en-US" w:bidi="en-US"/>
    </w:rPr>
  </w:style>
  <w:style w:type="character" w:customStyle="1" w:styleId="Bodytext2Italic">
    <w:name w:val="Body text (2) + Italic"/>
    <w:basedOn w:val="Bodytext2"/>
    <w:rsid w:val="0062614B"/>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7NotBold">
    <w:name w:val="Body text (7) + Not Bold"/>
    <w:basedOn w:val="Bodytext7"/>
    <w:rsid w:val="0062614B"/>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10">
    <w:name w:val="Body text (10)_"/>
    <w:basedOn w:val="DefaultParagraphFont"/>
    <w:link w:val="Bodytext100"/>
    <w:rsid w:val="0062614B"/>
    <w:rPr>
      <w:b w:val="0"/>
      <w:bCs w:val="0"/>
      <w:i w:val="0"/>
      <w:iCs w:val="0"/>
      <w:smallCaps w:val="0"/>
      <w:strike w:val="0"/>
      <w:sz w:val="18"/>
      <w:szCs w:val="18"/>
      <w:u w:val="none"/>
    </w:rPr>
  </w:style>
  <w:style w:type="character" w:customStyle="1" w:styleId="Bodytext10Bold">
    <w:name w:val="Body text (10) + Bold"/>
    <w:basedOn w:val="Bodytext10"/>
    <w:rsid w:val="0062614B"/>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29pt">
    <w:name w:val="Body text (2) + 9 pt"/>
    <w:aliases w:val="Bold1,Small Caps"/>
    <w:basedOn w:val="Bodytext2"/>
    <w:rsid w:val="0062614B"/>
    <w:rPr>
      <w:rFonts w:ascii="Times New Roman" w:eastAsia="Times New Roman" w:hAnsi="Times New Roman" w:cs="Times New Roman"/>
      <w:b/>
      <w:bCs/>
      <w:i w:val="0"/>
      <w:iCs w:val="0"/>
      <w:smallCaps/>
      <w:strike w:val="0"/>
      <w:color w:val="000000"/>
      <w:spacing w:val="0"/>
      <w:w w:val="100"/>
      <w:position w:val="0"/>
      <w:sz w:val="18"/>
      <w:szCs w:val="18"/>
      <w:u w:val="none"/>
      <w:lang w:val="en-US" w:eastAsia="en-US" w:bidi="en-US"/>
    </w:rPr>
  </w:style>
  <w:style w:type="character" w:customStyle="1" w:styleId="Bodytext2Bold1">
    <w:name w:val="Body text (2) + Bold1"/>
    <w:basedOn w:val="Bodytext2"/>
    <w:rsid w:val="0062614B"/>
    <w:rPr>
      <w:rFonts w:ascii="Times New Roman" w:eastAsia="Times New Roman" w:hAnsi="Times New Roman" w:cs="Times New Roman"/>
      <w:b/>
      <w:bCs/>
      <w:i w:val="0"/>
      <w:iCs w:val="0"/>
      <w:smallCaps w:val="0"/>
      <w:strike w:val="0"/>
      <w:color w:val="000000"/>
      <w:spacing w:val="0"/>
      <w:w w:val="100"/>
      <w:position w:val="0"/>
      <w:sz w:val="22"/>
      <w:szCs w:val="22"/>
      <w:u w:val="single"/>
      <w:lang w:val="en-US" w:eastAsia="en-US" w:bidi="en-US"/>
    </w:rPr>
  </w:style>
  <w:style w:type="character" w:customStyle="1" w:styleId="Bodytext24">
    <w:name w:val="Body text (2)4"/>
    <w:basedOn w:val="Bodytext2"/>
    <w:rsid w:val="0062614B"/>
    <w:rPr>
      <w:rFonts w:ascii="Times New Roman" w:eastAsia="Times New Roman" w:hAnsi="Times New Roman" w:cs="Times New Roman"/>
      <w:b w:val="0"/>
      <w:bCs w:val="0"/>
      <w:i w:val="0"/>
      <w:iCs w:val="0"/>
      <w:smallCaps w:val="0"/>
      <w:strike w:val="0"/>
      <w:color w:val="0000FF"/>
      <w:spacing w:val="0"/>
      <w:w w:val="100"/>
      <w:position w:val="0"/>
      <w:sz w:val="22"/>
      <w:szCs w:val="22"/>
      <w:u w:val="none"/>
      <w:lang w:val="en-US" w:eastAsia="en-US" w:bidi="en-US"/>
    </w:rPr>
  </w:style>
  <w:style w:type="character" w:customStyle="1" w:styleId="Bodytext24pt">
    <w:name w:val="Body text (2) + 4 pt"/>
    <w:aliases w:val="Scaling 50%"/>
    <w:basedOn w:val="Bodytext2"/>
    <w:rsid w:val="0062614B"/>
    <w:rPr>
      <w:rFonts w:ascii="Times New Roman" w:eastAsia="Times New Roman" w:hAnsi="Times New Roman" w:cs="Times New Roman"/>
      <w:b w:val="0"/>
      <w:bCs w:val="0"/>
      <w:i w:val="0"/>
      <w:iCs w:val="0"/>
      <w:smallCaps w:val="0"/>
      <w:strike w:val="0"/>
      <w:color w:val="757575"/>
      <w:spacing w:val="0"/>
      <w:w w:val="50"/>
      <w:position w:val="0"/>
      <w:sz w:val="8"/>
      <w:szCs w:val="8"/>
      <w:u w:val="none"/>
      <w:lang w:val="en-US" w:eastAsia="en-US" w:bidi="en-US"/>
    </w:rPr>
  </w:style>
  <w:style w:type="character" w:customStyle="1" w:styleId="Headerorfooter11pt">
    <w:name w:val="Header or footer + 11 pt"/>
    <w:aliases w:val="Not Bold2"/>
    <w:basedOn w:val="Headerorfooter"/>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Headerorfooter11pt1">
    <w:name w:val="Header or footer + 11 pt1"/>
    <w:basedOn w:val="Headerorfooter"/>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Tablecaption">
    <w:name w:val="Table caption_"/>
    <w:basedOn w:val="DefaultParagraphFont"/>
    <w:link w:val="Tablecaption0"/>
    <w:rsid w:val="0062614B"/>
    <w:rPr>
      <w:b w:val="0"/>
      <w:bCs w:val="0"/>
      <w:i w:val="0"/>
      <w:iCs w:val="0"/>
      <w:smallCaps w:val="0"/>
      <w:strike w:val="0"/>
      <w:sz w:val="22"/>
      <w:szCs w:val="22"/>
      <w:u w:val="none"/>
    </w:rPr>
  </w:style>
  <w:style w:type="character" w:customStyle="1" w:styleId="Bodytext23">
    <w:name w:val="Body text (2)3"/>
    <w:basedOn w:val="Bodytext2"/>
    <w:rsid w:val="0062614B"/>
    <w:rPr>
      <w:rFonts w:ascii="Times New Roman" w:eastAsia="Times New Roman" w:hAnsi="Times New Roman" w:cs="Times New Roman"/>
      <w:b w:val="0"/>
      <w:bCs w:val="0"/>
      <w:i w:val="0"/>
      <w:iCs w:val="0"/>
      <w:smallCaps w:val="0"/>
      <w:strike w:val="0"/>
      <w:color w:val="002060"/>
      <w:spacing w:val="0"/>
      <w:w w:val="100"/>
      <w:position w:val="0"/>
      <w:sz w:val="22"/>
      <w:szCs w:val="22"/>
      <w:u w:val="single"/>
      <w:lang w:val="en-US" w:eastAsia="en-US" w:bidi="en-US"/>
    </w:rPr>
  </w:style>
  <w:style w:type="character" w:customStyle="1" w:styleId="Bodytext22">
    <w:name w:val="Body text (2)2"/>
    <w:basedOn w:val="Bodytext2"/>
    <w:rsid w:val="0062614B"/>
    <w:rPr>
      <w:rFonts w:ascii="Times New Roman" w:eastAsia="Times New Roman" w:hAnsi="Times New Roman" w:cs="Times New Roman"/>
      <w:b w:val="0"/>
      <w:bCs w:val="0"/>
      <w:i w:val="0"/>
      <w:iCs w:val="0"/>
      <w:smallCaps w:val="0"/>
      <w:strike w:val="0"/>
      <w:color w:val="002060"/>
      <w:spacing w:val="0"/>
      <w:w w:val="100"/>
      <w:position w:val="0"/>
      <w:sz w:val="22"/>
      <w:szCs w:val="22"/>
      <w:u w:val="none"/>
      <w:lang w:val="en-US" w:eastAsia="en-US" w:bidi="en-US"/>
    </w:rPr>
  </w:style>
  <w:style w:type="character" w:customStyle="1" w:styleId="Tablecaption2">
    <w:name w:val="Table caption (2)_"/>
    <w:basedOn w:val="DefaultParagraphFont"/>
    <w:link w:val="Tablecaption20"/>
    <w:rsid w:val="0062614B"/>
    <w:rPr>
      <w:b/>
      <w:bCs/>
      <w:i w:val="0"/>
      <w:iCs w:val="0"/>
      <w:smallCaps w:val="0"/>
      <w:strike w:val="0"/>
      <w:sz w:val="19"/>
      <w:szCs w:val="19"/>
      <w:u w:val="none"/>
    </w:rPr>
  </w:style>
  <w:style w:type="character" w:customStyle="1" w:styleId="Bodytext11">
    <w:name w:val="Body text (11)_"/>
    <w:basedOn w:val="DefaultParagraphFont"/>
    <w:link w:val="Bodytext110"/>
    <w:rsid w:val="0062614B"/>
    <w:rPr>
      <w:b w:val="0"/>
      <w:bCs w:val="0"/>
      <w:i/>
      <w:iCs/>
      <w:smallCaps w:val="0"/>
      <w:strike w:val="0"/>
      <w:sz w:val="22"/>
      <w:szCs w:val="22"/>
      <w:u w:val="none"/>
    </w:rPr>
  </w:style>
  <w:style w:type="character" w:customStyle="1" w:styleId="Tablecaption3">
    <w:name w:val="Table caption (3)_"/>
    <w:basedOn w:val="DefaultParagraphFont"/>
    <w:link w:val="Tablecaption30"/>
    <w:rsid w:val="0062614B"/>
    <w:rPr>
      <w:b/>
      <w:bCs/>
      <w:i w:val="0"/>
      <w:iCs w:val="0"/>
      <w:smallCaps w:val="0"/>
      <w:strike w:val="0"/>
      <w:sz w:val="22"/>
      <w:szCs w:val="22"/>
      <w:u w:val="none"/>
      <w:lang w:val="fr-FR" w:eastAsia="fr-FR" w:bidi="fr-FR"/>
    </w:rPr>
  </w:style>
  <w:style w:type="character" w:customStyle="1" w:styleId="Bodytext711pt1">
    <w:name w:val="Body text (7) + 11 pt1"/>
    <w:aliases w:val="Not Bold1"/>
    <w:basedOn w:val="Bodytext7"/>
    <w:rsid w:val="0062614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12">
    <w:name w:val="Body text (12)_"/>
    <w:basedOn w:val="DefaultParagraphFont"/>
    <w:link w:val="Bodytext120"/>
    <w:rsid w:val="0062614B"/>
    <w:rPr>
      <w:b w:val="0"/>
      <w:bCs w:val="0"/>
      <w:i w:val="0"/>
      <w:iCs w:val="0"/>
      <w:smallCaps w:val="0"/>
      <w:strike w:val="0"/>
      <w:sz w:val="12"/>
      <w:szCs w:val="12"/>
      <w:u w:val="none"/>
    </w:rPr>
  </w:style>
  <w:style w:type="paragraph" w:customStyle="1" w:styleId="Footnote21">
    <w:name w:val="Footnote (2)1"/>
    <w:basedOn w:val="Normal"/>
    <w:link w:val="Footnote2"/>
    <w:rsid w:val="0062614B"/>
    <w:pPr>
      <w:shd w:val="clear" w:color="auto" w:fill="FFFFFF"/>
      <w:spacing w:line="222" w:lineRule="exact"/>
      <w:ind w:hanging="260"/>
      <w:jc w:val="both"/>
    </w:pPr>
    <w:rPr>
      <w:sz w:val="20"/>
      <w:szCs w:val="20"/>
    </w:rPr>
  </w:style>
  <w:style w:type="paragraph" w:customStyle="1" w:styleId="Footnote31">
    <w:name w:val="Footnote (3)1"/>
    <w:basedOn w:val="Normal"/>
    <w:link w:val="Footnote3"/>
    <w:rsid w:val="0062614B"/>
    <w:pPr>
      <w:shd w:val="clear" w:color="auto" w:fill="FFFFFF"/>
      <w:spacing w:line="210" w:lineRule="exact"/>
    </w:pPr>
    <w:rPr>
      <w:sz w:val="19"/>
      <w:szCs w:val="19"/>
    </w:rPr>
  </w:style>
  <w:style w:type="paragraph" w:customStyle="1" w:styleId="Footnote1">
    <w:name w:val="Footnote1"/>
    <w:basedOn w:val="Normal"/>
    <w:link w:val="Footnote"/>
    <w:rsid w:val="0062614B"/>
    <w:pPr>
      <w:shd w:val="clear" w:color="auto" w:fill="FFFFFF"/>
      <w:spacing w:after="380" w:line="244" w:lineRule="exact"/>
      <w:ind w:hanging="360"/>
      <w:jc w:val="both"/>
    </w:pPr>
    <w:rPr>
      <w:sz w:val="22"/>
      <w:szCs w:val="22"/>
    </w:rPr>
  </w:style>
  <w:style w:type="paragraph" w:customStyle="1" w:styleId="Footnote40">
    <w:name w:val="Footnote (4)"/>
    <w:basedOn w:val="Normal"/>
    <w:link w:val="Footnote4"/>
    <w:rsid w:val="0062614B"/>
    <w:pPr>
      <w:shd w:val="clear" w:color="auto" w:fill="FFFFFF"/>
      <w:spacing w:before="380" w:after="240" w:line="266" w:lineRule="exact"/>
      <w:jc w:val="both"/>
    </w:pPr>
    <w:rPr>
      <w:b/>
      <w:bCs/>
      <w:i/>
      <w:iCs/>
    </w:rPr>
  </w:style>
  <w:style w:type="paragraph" w:customStyle="1" w:styleId="Headerorfooter1">
    <w:name w:val="Header or footer1"/>
    <w:basedOn w:val="Normal"/>
    <w:link w:val="Headerorfooter"/>
    <w:rsid w:val="0062614B"/>
    <w:pPr>
      <w:shd w:val="clear" w:color="auto" w:fill="FFFFFF"/>
      <w:spacing w:line="202" w:lineRule="exact"/>
    </w:pPr>
    <w:rPr>
      <w:b/>
      <w:bCs/>
      <w:sz w:val="17"/>
      <w:szCs w:val="17"/>
    </w:rPr>
  </w:style>
  <w:style w:type="paragraph" w:customStyle="1" w:styleId="Bodytext30">
    <w:name w:val="Body text (3)"/>
    <w:basedOn w:val="Normal"/>
    <w:link w:val="Bodytext3"/>
    <w:rsid w:val="0062614B"/>
    <w:pPr>
      <w:shd w:val="clear" w:color="auto" w:fill="FFFFFF"/>
      <w:spacing w:before="1020" w:after="820" w:line="354" w:lineRule="exact"/>
      <w:jc w:val="center"/>
    </w:pPr>
    <w:rPr>
      <w:sz w:val="20"/>
      <w:szCs w:val="20"/>
    </w:rPr>
  </w:style>
  <w:style w:type="paragraph" w:customStyle="1" w:styleId="Heading11">
    <w:name w:val="Heading #1"/>
    <w:basedOn w:val="Normal"/>
    <w:link w:val="Heading10"/>
    <w:rsid w:val="0062614B"/>
    <w:pPr>
      <w:shd w:val="clear" w:color="auto" w:fill="FFFFFF"/>
      <w:spacing w:before="1100" w:after="740" w:line="354" w:lineRule="exact"/>
      <w:jc w:val="center"/>
      <w:outlineLvl w:val="0"/>
    </w:pPr>
    <w:rPr>
      <w:b/>
      <w:bCs/>
      <w:sz w:val="32"/>
      <w:szCs w:val="32"/>
    </w:rPr>
  </w:style>
  <w:style w:type="paragraph" w:customStyle="1" w:styleId="Bodytext40">
    <w:name w:val="Body text (4)"/>
    <w:basedOn w:val="Normal"/>
    <w:link w:val="Bodytext4"/>
    <w:rsid w:val="0062614B"/>
    <w:pPr>
      <w:shd w:val="clear" w:color="auto" w:fill="FFFFFF"/>
      <w:spacing w:before="260" w:after="260" w:line="244" w:lineRule="exact"/>
      <w:jc w:val="both"/>
    </w:pPr>
    <w:rPr>
      <w:b/>
      <w:bCs/>
      <w:i/>
      <w:iCs/>
      <w:sz w:val="22"/>
      <w:szCs w:val="22"/>
    </w:rPr>
  </w:style>
  <w:style w:type="paragraph" w:customStyle="1" w:styleId="Bodytext51">
    <w:name w:val="Body text (5)1"/>
    <w:basedOn w:val="Normal"/>
    <w:link w:val="Bodytext5"/>
    <w:rsid w:val="0062614B"/>
    <w:pPr>
      <w:shd w:val="clear" w:color="auto" w:fill="FFFFFF"/>
      <w:spacing w:before="260" w:after="260" w:line="244" w:lineRule="exact"/>
      <w:ind w:hanging="380"/>
      <w:jc w:val="both"/>
    </w:pPr>
    <w:rPr>
      <w:b/>
      <w:bCs/>
      <w:sz w:val="22"/>
      <w:szCs w:val="22"/>
    </w:rPr>
  </w:style>
  <w:style w:type="paragraph" w:customStyle="1" w:styleId="Bodytext21">
    <w:name w:val="Body text (2)1"/>
    <w:basedOn w:val="Normal"/>
    <w:link w:val="Bodytext2"/>
    <w:rsid w:val="0062614B"/>
    <w:pPr>
      <w:shd w:val="clear" w:color="auto" w:fill="FFFFFF"/>
      <w:spacing w:before="260" w:after="260" w:line="250" w:lineRule="exact"/>
      <w:ind w:hanging="1260"/>
      <w:jc w:val="both"/>
    </w:pPr>
    <w:rPr>
      <w:sz w:val="22"/>
      <w:szCs w:val="22"/>
    </w:rPr>
  </w:style>
  <w:style w:type="paragraph" w:customStyle="1" w:styleId="Bodytext60">
    <w:name w:val="Body text (6)"/>
    <w:basedOn w:val="Normal"/>
    <w:link w:val="Bodytext6"/>
    <w:rsid w:val="0062614B"/>
    <w:pPr>
      <w:shd w:val="clear" w:color="auto" w:fill="FFFFFF"/>
      <w:spacing w:after="520" w:line="354" w:lineRule="exact"/>
      <w:jc w:val="center"/>
    </w:pPr>
    <w:rPr>
      <w:sz w:val="32"/>
      <w:szCs w:val="32"/>
      <w:lang w:val="fr-FR" w:eastAsia="fr-FR" w:bidi="fr-FR"/>
    </w:rPr>
  </w:style>
  <w:style w:type="paragraph" w:customStyle="1" w:styleId="Tableofcontents21">
    <w:name w:val="Table of contents (2)1"/>
    <w:basedOn w:val="Normal"/>
    <w:link w:val="Tableofcontents2"/>
    <w:rsid w:val="0062614B"/>
    <w:pPr>
      <w:shd w:val="clear" w:color="auto" w:fill="FFFFFF"/>
      <w:spacing w:before="240" w:line="331" w:lineRule="exact"/>
    </w:pPr>
    <w:rPr>
      <w:sz w:val="22"/>
      <w:szCs w:val="22"/>
    </w:rPr>
  </w:style>
  <w:style w:type="paragraph" w:styleId="TOC2">
    <w:name w:val="toc 2"/>
    <w:basedOn w:val="Normal"/>
    <w:link w:val="TOC2Char"/>
    <w:autoRedefine/>
    <w:uiPriority w:val="39"/>
    <w:rsid w:val="006C5090"/>
    <w:pPr>
      <w:shd w:val="clear" w:color="auto" w:fill="FFFFFF"/>
      <w:tabs>
        <w:tab w:val="right" w:leader="dot" w:pos="9730"/>
      </w:tabs>
      <w:spacing w:line="331" w:lineRule="exact"/>
      <w:ind w:left="480"/>
    </w:pPr>
    <w:rPr>
      <w:b/>
      <w:bCs/>
      <w:sz w:val="22"/>
      <w:szCs w:val="22"/>
    </w:rPr>
  </w:style>
  <w:style w:type="paragraph" w:customStyle="1" w:styleId="Tableofcontents1">
    <w:name w:val="Table of contents1"/>
    <w:basedOn w:val="Normal"/>
    <w:link w:val="Tableofcontents"/>
    <w:rsid w:val="0062614B"/>
    <w:pPr>
      <w:shd w:val="clear" w:color="auto" w:fill="FFFFFF"/>
      <w:spacing w:line="269" w:lineRule="exact"/>
    </w:pPr>
    <w:rPr>
      <w:sz w:val="19"/>
      <w:szCs w:val="19"/>
    </w:rPr>
  </w:style>
  <w:style w:type="paragraph" w:customStyle="1" w:styleId="Heading21">
    <w:name w:val="Heading #2"/>
    <w:basedOn w:val="Normal"/>
    <w:link w:val="Heading20"/>
    <w:rsid w:val="0062614B"/>
    <w:pPr>
      <w:shd w:val="clear" w:color="auto" w:fill="FFFFFF"/>
      <w:spacing w:after="620" w:line="244" w:lineRule="exact"/>
      <w:ind w:hanging="1540"/>
      <w:jc w:val="both"/>
      <w:outlineLvl w:val="1"/>
    </w:pPr>
    <w:rPr>
      <w:b/>
      <w:bCs/>
      <w:sz w:val="22"/>
      <w:szCs w:val="22"/>
    </w:rPr>
  </w:style>
  <w:style w:type="paragraph" w:customStyle="1" w:styleId="Bodytext70">
    <w:name w:val="Body text (7)"/>
    <w:basedOn w:val="Normal"/>
    <w:link w:val="Bodytext7"/>
    <w:rsid w:val="0062614B"/>
    <w:pPr>
      <w:shd w:val="clear" w:color="auto" w:fill="FFFFFF"/>
      <w:spacing w:before="620" w:after="180" w:line="244" w:lineRule="exact"/>
      <w:jc w:val="both"/>
    </w:pPr>
    <w:rPr>
      <w:b/>
      <w:bCs/>
      <w:sz w:val="18"/>
      <w:szCs w:val="18"/>
    </w:rPr>
  </w:style>
  <w:style w:type="paragraph" w:customStyle="1" w:styleId="Bodytext80">
    <w:name w:val="Body text (8)"/>
    <w:basedOn w:val="Normal"/>
    <w:link w:val="Bodytext8"/>
    <w:rsid w:val="0062614B"/>
    <w:pPr>
      <w:shd w:val="clear" w:color="auto" w:fill="FFFFFF"/>
      <w:spacing w:before="200" w:after="300" w:line="266" w:lineRule="exact"/>
      <w:jc w:val="both"/>
    </w:pPr>
    <w:rPr>
      <w:b/>
      <w:bCs/>
      <w:i/>
      <w:iCs/>
    </w:rPr>
  </w:style>
  <w:style w:type="paragraph" w:customStyle="1" w:styleId="Bodytext90">
    <w:name w:val="Body text (9)"/>
    <w:basedOn w:val="Normal"/>
    <w:link w:val="Bodytext9"/>
    <w:rsid w:val="0062614B"/>
    <w:pPr>
      <w:shd w:val="clear" w:color="auto" w:fill="FFFFFF"/>
      <w:spacing w:before="380" w:line="226" w:lineRule="exact"/>
      <w:jc w:val="both"/>
    </w:pPr>
    <w:rPr>
      <w:sz w:val="19"/>
      <w:szCs w:val="19"/>
    </w:rPr>
  </w:style>
  <w:style w:type="paragraph" w:customStyle="1" w:styleId="Bodytext100">
    <w:name w:val="Body text (10)"/>
    <w:basedOn w:val="Normal"/>
    <w:link w:val="Bodytext10"/>
    <w:rsid w:val="0062614B"/>
    <w:pPr>
      <w:shd w:val="clear" w:color="auto" w:fill="FFFFFF"/>
      <w:spacing w:line="211" w:lineRule="exact"/>
      <w:jc w:val="both"/>
    </w:pPr>
    <w:rPr>
      <w:sz w:val="18"/>
      <w:szCs w:val="18"/>
    </w:rPr>
  </w:style>
  <w:style w:type="paragraph" w:customStyle="1" w:styleId="Tablecaption0">
    <w:name w:val="Table caption"/>
    <w:basedOn w:val="Normal"/>
    <w:link w:val="Tablecaption"/>
    <w:rsid w:val="0062614B"/>
    <w:pPr>
      <w:shd w:val="clear" w:color="auto" w:fill="FFFFFF"/>
      <w:spacing w:line="259" w:lineRule="exact"/>
      <w:jc w:val="both"/>
    </w:pPr>
    <w:rPr>
      <w:sz w:val="22"/>
      <w:szCs w:val="22"/>
    </w:rPr>
  </w:style>
  <w:style w:type="paragraph" w:customStyle="1" w:styleId="Tablecaption20">
    <w:name w:val="Table caption (2)"/>
    <w:basedOn w:val="Normal"/>
    <w:link w:val="Tablecaption2"/>
    <w:rsid w:val="0062614B"/>
    <w:pPr>
      <w:shd w:val="clear" w:color="auto" w:fill="FFFFFF"/>
      <w:spacing w:line="210" w:lineRule="exact"/>
    </w:pPr>
    <w:rPr>
      <w:b/>
      <w:bCs/>
      <w:sz w:val="19"/>
      <w:szCs w:val="19"/>
    </w:rPr>
  </w:style>
  <w:style w:type="paragraph" w:customStyle="1" w:styleId="Bodytext110">
    <w:name w:val="Body text (11)"/>
    <w:basedOn w:val="Normal"/>
    <w:link w:val="Bodytext11"/>
    <w:rsid w:val="0062614B"/>
    <w:pPr>
      <w:shd w:val="clear" w:color="auto" w:fill="FFFFFF"/>
      <w:spacing w:before="200" w:after="200" w:line="244" w:lineRule="exact"/>
      <w:jc w:val="both"/>
    </w:pPr>
    <w:rPr>
      <w:i/>
      <w:iCs/>
      <w:sz w:val="22"/>
      <w:szCs w:val="22"/>
    </w:rPr>
  </w:style>
  <w:style w:type="paragraph" w:customStyle="1" w:styleId="Tablecaption30">
    <w:name w:val="Table caption (3)"/>
    <w:basedOn w:val="Normal"/>
    <w:link w:val="Tablecaption3"/>
    <w:rsid w:val="0062614B"/>
    <w:pPr>
      <w:shd w:val="clear" w:color="auto" w:fill="FFFFFF"/>
      <w:spacing w:line="244" w:lineRule="exact"/>
    </w:pPr>
    <w:rPr>
      <w:b/>
      <w:bCs/>
      <w:sz w:val="22"/>
      <w:szCs w:val="22"/>
      <w:lang w:val="fr-FR" w:eastAsia="fr-FR" w:bidi="fr-FR"/>
    </w:rPr>
  </w:style>
  <w:style w:type="paragraph" w:customStyle="1" w:styleId="Bodytext120">
    <w:name w:val="Body text (12)"/>
    <w:basedOn w:val="Normal"/>
    <w:link w:val="Bodytext12"/>
    <w:rsid w:val="0062614B"/>
    <w:pPr>
      <w:shd w:val="clear" w:color="auto" w:fill="FFFFFF"/>
      <w:spacing w:line="132" w:lineRule="exact"/>
    </w:pPr>
    <w:rPr>
      <w:sz w:val="12"/>
      <w:szCs w:val="12"/>
    </w:rPr>
  </w:style>
  <w:style w:type="paragraph" w:styleId="Header">
    <w:name w:val="header"/>
    <w:basedOn w:val="Normal"/>
    <w:link w:val="HeaderChar"/>
    <w:uiPriority w:val="99"/>
    <w:unhideWhenUsed/>
    <w:rsid w:val="003649DA"/>
    <w:pPr>
      <w:tabs>
        <w:tab w:val="center" w:pos="4680"/>
        <w:tab w:val="right" w:pos="9360"/>
      </w:tabs>
    </w:pPr>
  </w:style>
  <w:style w:type="character" w:customStyle="1" w:styleId="HeaderChar">
    <w:name w:val="Header Char"/>
    <w:basedOn w:val="DefaultParagraphFont"/>
    <w:link w:val="Header"/>
    <w:uiPriority w:val="99"/>
    <w:rsid w:val="003649DA"/>
    <w:rPr>
      <w:color w:val="000000"/>
    </w:rPr>
  </w:style>
  <w:style w:type="paragraph" w:styleId="Footer">
    <w:name w:val="footer"/>
    <w:basedOn w:val="Normal"/>
    <w:link w:val="FooterChar"/>
    <w:uiPriority w:val="99"/>
    <w:unhideWhenUsed/>
    <w:rsid w:val="003649DA"/>
    <w:pPr>
      <w:tabs>
        <w:tab w:val="center" w:pos="4680"/>
        <w:tab w:val="right" w:pos="9360"/>
      </w:tabs>
    </w:pPr>
  </w:style>
  <w:style w:type="character" w:customStyle="1" w:styleId="FooterChar">
    <w:name w:val="Footer Char"/>
    <w:basedOn w:val="DefaultParagraphFont"/>
    <w:link w:val="Footer"/>
    <w:uiPriority w:val="99"/>
    <w:rsid w:val="003649DA"/>
    <w:rPr>
      <w:color w:val="000000"/>
    </w:rPr>
  </w:style>
  <w:style w:type="character" w:styleId="FootnoteReference">
    <w:name w:val="footnote reference"/>
    <w:uiPriority w:val="99"/>
    <w:unhideWhenUsed/>
    <w:rsid w:val="00207975"/>
    <w:rPr>
      <w:vertAlign w:val="superscript"/>
    </w:rPr>
  </w:style>
  <w:style w:type="paragraph" w:styleId="ListParagraph">
    <w:name w:val="List Paragraph"/>
    <w:basedOn w:val="Normal"/>
    <w:uiPriority w:val="34"/>
    <w:qFormat/>
    <w:rsid w:val="00DA6324"/>
    <w:pPr>
      <w:ind w:left="720"/>
      <w:contextualSpacing/>
    </w:pPr>
  </w:style>
  <w:style w:type="paragraph" w:styleId="NoSpacing">
    <w:name w:val="No Spacing"/>
    <w:uiPriority w:val="1"/>
    <w:qFormat/>
    <w:rsid w:val="00ED03E3"/>
    <w:rPr>
      <w:color w:val="000000"/>
    </w:rPr>
  </w:style>
  <w:style w:type="paragraph" w:styleId="FootnoteText">
    <w:name w:val="footnote text"/>
    <w:basedOn w:val="Normal"/>
    <w:link w:val="FootnoteTextChar"/>
    <w:uiPriority w:val="99"/>
    <w:semiHidden/>
    <w:unhideWhenUsed/>
    <w:rsid w:val="005336DC"/>
    <w:rPr>
      <w:sz w:val="20"/>
      <w:szCs w:val="20"/>
    </w:rPr>
  </w:style>
  <w:style w:type="character" w:customStyle="1" w:styleId="FootnoteTextChar">
    <w:name w:val="Footnote Text Char"/>
    <w:basedOn w:val="DefaultParagraphFont"/>
    <w:link w:val="FootnoteText"/>
    <w:uiPriority w:val="99"/>
    <w:semiHidden/>
    <w:rsid w:val="005336DC"/>
    <w:rPr>
      <w:color w:val="000000"/>
      <w:sz w:val="20"/>
      <w:szCs w:val="20"/>
    </w:rPr>
  </w:style>
  <w:style w:type="character" w:styleId="CommentReference">
    <w:name w:val="annotation reference"/>
    <w:basedOn w:val="DefaultParagraphFont"/>
    <w:uiPriority w:val="99"/>
    <w:semiHidden/>
    <w:unhideWhenUsed/>
    <w:rsid w:val="00491C25"/>
    <w:rPr>
      <w:sz w:val="16"/>
      <w:szCs w:val="16"/>
    </w:rPr>
  </w:style>
  <w:style w:type="paragraph" w:styleId="CommentText">
    <w:name w:val="annotation text"/>
    <w:basedOn w:val="Normal"/>
    <w:link w:val="CommentTextChar"/>
    <w:uiPriority w:val="99"/>
    <w:semiHidden/>
    <w:unhideWhenUsed/>
    <w:rsid w:val="00491C25"/>
    <w:rPr>
      <w:sz w:val="20"/>
      <w:szCs w:val="20"/>
    </w:rPr>
  </w:style>
  <w:style w:type="character" w:customStyle="1" w:styleId="CommentTextChar">
    <w:name w:val="Comment Text Char"/>
    <w:basedOn w:val="DefaultParagraphFont"/>
    <w:link w:val="CommentText"/>
    <w:uiPriority w:val="99"/>
    <w:semiHidden/>
    <w:rsid w:val="00491C25"/>
    <w:rPr>
      <w:color w:val="000000"/>
      <w:sz w:val="20"/>
      <w:szCs w:val="20"/>
    </w:rPr>
  </w:style>
  <w:style w:type="paragraph" w:styleId="CommentSubject">
    <w:name w:val="annotation subject"/>
    <w:basedOn w:val="CommentText"/>
    <w:next w:val="CommentText"/>
    <w:link w:val="CommentSubjectChar"/>
    <w:uiPriority w:val="99"/>
    <w:semiHidden/>
    <w:unhideWhenUsed/>
    <w:rsid w:val="00491C25"/>
    <w:rPr>
      <w:b/>
      <w:bCs/>
    </w:rPr>
  </w:style>
  <w:style w:type="character" w:customStyle="1" w:styleId="CommentSubjectChar">
    <w:name w:val="Comment Subject Char"/>
    <w:basedOn w:val="CommentTextChar"/>
    <w:link w:val="CommentSubject"/>
    <w:uiPriority w:val="99"/>
    <w:semiHidden/>
    <w:rsid w:val="00491C25"/>
    <w:rPr>
      <w:b/>
      <w:bCs/>
      <w:color w:val="000000"/>
      <w:sz w:val="20"/>
      <w:szCs w:val="20"/>
    </w:rPr>
  </w:style>
  <w:style w:type="paragraph" w:styleId="BalloonText">
    <w:name w:val="Balloon Text"/>
    <w:basedOn w:val="Normal"/>
    <w:link w:val="BalloonTextChar"/>
    <w:uiPriority w:val="99"/>
    <w:semiHidden/>
    <w:unhideWhenUsed/>
    <w:rsid w:val="00491C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C25"/>
    <w:rPr>
      <w:rFonts w:ascii="Segoe UI" w:hAnsi="Segoe UI" w:cs="Segoe UI"/>
      <w:color w:val="000000"/>
      <w:sz w:val="18"/>
      <w:szCs w:val="18"/>
    </w:rPr>
  </w:style>
  <w:style w:type="character" w:styleId="Hyperlink">
    <w:name w:val="Hyperlink"/>
    <w:basedOn w:val="DefaultParagraphFont"/>
    <w:uiPriority w:val="99"/>
    <w:unhideWhenUsed/>
    <w:rsid w:val="0054467E"/>
    <w:rPr>
      <w:color w:val="0000FF" w:themeColor="hyperlink"/>
      <w:u w:val="single"/>
    </w:rPr>
  </w:style>
  <w:style w:type="character" w:customStyle="1" w:styleId="UnresolvedMention1">
    <w:name w:val="Unresolved Mention1"/>
    <w:basedOn w:val="DefaultParagraphFont"/>
    <w:uiPriority w:val="99"/>
    <w:semiHidden/>
    <w:unhideWhenUsed/>
    <w:rsid w:val="0054467E"/>
    <w:rPr>
      <w:color w:val="605E5C"/>
      <w:shd w:val="clear" w:color="auto" w:fill="E1DFDD"/>
    </w:rPr>
  </w:style>
  <w:style w:type="table" w:styleId="TableGrid">
    <w:name w:val="Table Grid"/>
    <w:basedOn w:val="TableNormal"/>
    <w:uiPriority w:val="59"/>
    <w:rsid w:val="006D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6135A"/>
    <w:rPr>
      <w:sz w:val="20"/>
      <w:szCs w:val="20"/>
    </w:rPr>
  </w:style>
  <w:style w:type="character" w:customStyle="1" w:styleId="EndnoteTextChar">
    <w:name w:val="Endnote Text Char"/>
    <w:basedOn w:val="DefaultParagraphFont"/>
    <w:link w:val="EndnoteText"/>
    <w:uiPriority w:val="99"/>
    <w:semiHidden/>
    <w:rsid w:val="0056135A"/>
    <w:rPr>
      <w:color w:val="000000"/>
      <w:sz w:val="20"/>
      <w:szCs w:val="20"/>
    </w:rPr>
  </w:style>
  <w:style w:type="character" w:styleId="EndnoteReference">
    <w:name w:val="endnote reference"/>
    <w:basedOn w:val="DefaultParagraphFont"/>
    <w:uiPriority w:val="99"/>
    <w:semiHidden/>
    <w:unhideWhenUsed/>
    <w:rsid w:val="0056135A"/>
    <w:rPr>
      <w:vertAlign w:val="superscript"/>
    </w:rPr>
  </w:style>
  <w:style w:type="paragraph" w:customStyle="1" w:styleId="Guidelines1">
    <w:name w:val="Guidelines 1"/>
    <w:basedOn w:val="Normal"/>
    <w:autoRedefine/>
    <w:qFormat/>
    <w:rsid w:val="00442A42"/>
    <w:pPr>
      <w:numPr>
        <w:numId w:val="22"/>
      </w:numPr>
      <w:spacing w:before="120" w:after="360"/>
      <w:jc w:val="both"/>
    </w:pPr>
    <w:rPr>
      <w:rFonts w:ascii="Times New Roman Bold" w:hAnsi="Times New Roman Bold"/>
      <w:b/>
      <w:caps/>
      <w:color w:val="auto"/>
      <w:lang w:eastAsia="nl-NL" w:bidi="ar-SA"/>
    </w:rPr>
  </w:style>
  <w:style w:type="paragraph" w:customStyle="1" w:styleId="Guidelines2">
    <w:name w:val="Guidelines 2"/>
    <w:basedOn w:val="Normal"/>
    <w:next w:val="Normal"/>
    <w:autoRedefine/>
    <w:qFormat/>
    <w:rsid w:val="000E6F20"/>
    <w:pPr>
      <w:widowControl/>
      <w:numPr>
        <w:ilvl w:val="1"/>
        <w:numId w:val="22"/>
      </w:numPr>
      <w:spacing w:before="240" w:after="120"/>
      <w:jc w:val="both"/>
      <w:outlineLvl w:val="0"/>
    </w:pPr>
    <w:rPr>
      <w:rFonts w:ascii="Times New Roman Bold" w:hAnsi="Times New Roman Bold"/>
      <w:b/>
      <w:smallCaps/>
      <w:color w:val="auto"/>
      <w:sz w:val="28"/>
      <w:szCs w:val="20"/>
      <w:lang w:bidi="ar-SA"/>
    </w:rPr>
  </w:style>
  <w:style w:type="paragraph" w:styleId="Revision">
    <w:name w:val="Revision"/>
    <w:hidden/>
    <w:uiPriority w:val="99"/>
    <w:semiHidden/>
    <w:rsid w:val="00997B8F"/>
    <w:pPr>
      <w:widowControl/>
    </w:pPr>
    <w:rPr>
      <w:color w:val="000000"/>
    </w:rPr>
  </w:style>
  <w:style w:type="character" w:customStyle="1" w:styleId="UnresolvedMention2">
    <w:name w:val="Unresolved Mention2"/>
    <w:basedOn w:val="DefaultParagraphFont"/>
    <w:uiPriority w:val="99"/>
    <w:semiHidden/>
    <w:unhideWhenUsed/>
    <w:rsid w:val="00B71447"/>
    <w:rPr>
      <w:color w:val="605E5C"/>
      <w:shd w:val="clear" w:color="auto" w:fill="E1DFDD"/>
    </w:rPr>
  </w:style>
  <w:style w:type="paragraph" w:styleId="TOC1">
    <w:name w:val="toc 1"/>
    <w:basedOn w:val="Normal"/>
    <w:next w:val="Normal"/>
    <w:autoRedefine/>
    <w:uiPriority w:val="39"/>
    <w:unhideWhenUsed/>
    <w:rsid w:val="00686C1C"/>
    <w:pPr>
      <w:spacing w:after="100"/>
    </w:pPr>
  </w:style>
  <w:style w:type="character" w:customStyle="1" w:styleId="Heading1Char">
    <w:name w:val="Heading 1 Char"/>
    <w:basedOn w:val="DefaultParagraphFont"/>
    <w:link w:val="Heading1"/>
    <w:uiPriority w:val="9"/>
    <w:rsid w:val="0076698D"/>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unhideWhenUsed/>
    <w:qFormat/>
    <w:rsid w:val="0076698D"/>
    <w:pPr>
      <w:widowControl/>
      <w:spacing w:line="276" w:lineRule="auto"/>
      <w:outlineLvl w:val="9"/>
    </w:pPr>
    <w:rPr>
      <w:lang w:val="en-US" w:bidi="ar-SA"/>
    </w:rPr>
  </w:style>
  <w:style w:type="paragraph" w:customStyle="1" w:styleId="Guidline3">
    <w:name w:val="Guidline 3"/>
    <w:basedOn w:val="Bodytext80"/>
    <w:link w:val="Guidline3Char"/>
    <w:qFormat/>
    <w:rsid w:val="00EE245B"/>
    <w:pPr>
      <w:numPr>
        <w:numId w:val="6"/>
      </w:numPr>
      <w:pBdr>
        <w:top w:val="single" w:sz="4" w:space="1" w:color="auto"/>
        <w:left w:val="single" w:sz="4" w:space="4" w:color="auto"/>
        <w:bottom w:val="single" w:sz="4" w:space="1" w:color="auto"/>
        <w:right w:val="single" w:sz="4" w:space="4" w:color="auto"/>
      </w:pBdr>
      <w:shd w:val="clear" w:color="auto" w:fill="auto"/>
      <w:tabs>
        <w:tab w:val="left" w:pos="803"/>
      </w:tabs>
      <w:spacing w:before="0" w:after="318"/>
    </w:pPr>
  </w:style>
  <w:style w:type="character" w:customStyle="1" w:styleId="Guidline3Char">
    <w:name w:val="Guidline 3 Char"/>
    <w:basedOn w:val="Bodytext8"/>
    <w:link w:val="Guidline3"/>
    <w:rsid w:val="00EE245B"/>
    <w:rPr>
      <w:b/>
      <w:bCs/>
      <w:i/>
      <w:iCs/>
      <w:smallCaps w:val="0"/>
      <w:strike w:val="0"/>
      <w:color w:val="000000"/>
      <w:u w:val="none"/>
      <w:lang w:val="en-GB"/>
    </w:rPr>
  </w:style>
  <w:style w:type="character" w:customStyle="1" w:styleId="Heading2Char">
    <w:name w:val="Heading 2 Char"/>
    <w:basedOn w:val="DefaultParagraphFont"/>
    <w:link w:val="Heading2"/>
    <w:uiPriority w:val="9"/>
    <w:rsid w:val="00F15608"/>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B310D1"/>
    <w:rPr>
      <w:rFonts w:asciiTheme="majorHAnsi" w:eastAsiaTheme="majorEastAsia" w:hAnsiTheme="majorHAnsi" w:cstheme="majorBidi"/>
      <w:b/>
      <w:bCs/>
      <w:color w:val="4F81BD" w:themeColor="accent1"/>
      <w:lang w:val="en-GB"/>
    </w:rPr>
  </w:style>
  <w:style w:type="paragraph" w:styleId="TOC3">
    <w:name w:val="toc 3"/>
    <w:basedOn w:val="Normal"/>
    <w:next w:val="Normal"/>
    <w:autoRedefine/>
    <w:uiPriority w:val="39"/>
    <w:unhideWhenUsed/>
    <w:rsid w:val="0064568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europa.eu/europeaid/funding/communication-and-visibility-manual-eu-external-actions_en" TargetMode="External"/><Relationship Id="rId18" Type="http://schemas.openxmlformats.org/officeDocument/2006/relationships/hyperlink" Target="https://webgate.ec.europa.eu/europeaid/prospect" TargetMode="External"/><Relationship Id="rId26" Type="http://schemas.openxmlformats.org/officeDocument/2006/relationships/hyperlink" Target="mailto:EuropeAid-IT-support@ec.europa.eu" TargetMode="External"/><Relationship Id="rId3" Type="http://schemas.openxmlformats.org/officeDocument/2006/relationships/styles" Target="styles.xml"/><Relationship Id="rId21" Type="http://schemas.openxmlformats.org/officeDocument/2006/relationships/hyperlink" Target="file:///C:\Users\andyn.MEPD-ACMS\Documents\ETHIOPIA\CfP\EuropeAid-IT-support@ec.europa.eu" TargetMode="External"/><Relationship Id="rId34" Type="http://schemas.openxmlformats.org/officeDocument/2006/relationships/hyperlink" Target="http://ec.europa.eu/europeaid/companion/document.do?nodeNumber=19&amp;locale=en" TargetMode="External"/><Relationship Id="rId7" Type="http://schemas.openxmlformats.org/officeDocument/2006/relationships/endnotes" Target="endnotes.xml"/><Relationship Id="rId12" Type="http://schemas.openxmlformats.org/officeDocument/2006/relationships/hyperlink" Target="%20http://ec.europa.eu/europeaid/funding/communication-and-visibility-manual-eu-" TargetMode="External"/><Relationship Id="rId17" Type="http://schemas.openxmlformats.org/officeDocument/2006/relationships/hyperlink" Target="mailto:EuropeAid-IT-support@ec.europa.eu" TargetMode="External"/><Relationship Id="rId25" Type="http://schemas.openxmlformats.org/officeDocument/2006/relationships/hyperlink" Target="https://webgate.ec.europa.eu/europeaid/online-services/index.cfm?do=publi.welcome" TargetMode="External"/><Relationship Id="rId33" Type="http://schemas.openxmlformats.org/officeDocument/2006/relationships/hyperlink" Target="https://ec.europa.eu/europeaid/aid-delivery-methods-project-cycle-management-guidelines-vol-1_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port@ec.europa.eu" TargetMode="External"/><Relationship Id="rId20" Type="http://schemas.openxmlformats.org/officeDocument/2006/relationships/hyperlink" Target="https://webgate.ec.europa.eu/europeaid/online-services/index.cfm?do=publi.welcom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locale=en" TargetMode="External"/><Relationship Id="rId24" Type="http://schemas.openxmlformats.org/officeDocument/2006/relationships/hyperlink" Target="https://webgate.ec.europa.eu/europeaid/online-" TargetMode="External"/><Relationship Id="rId32" Type="http://schemas.openxmlformats.org/officeDocument/2006/relationships/hyperlink" Target="http://ec.europa.eu/europeaid/funding/about-procurement-contracts/procedures-and-practical-guide-prag/diems_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uropeAid-IT-support@ec.europa.eu" TargetMode="External"/><Relationship Id="rId23" Type="http://schemas.openxmlformats.org/officeDocument/2006/relationships/hyperlink" Target="file:///C:\Users\andyn.MEPD-ACMS\Downloads\DELEGATION-ETHIOPIA-CSFIII@eeas.europa.eu" TargetMode="External"/><Relationship Id="rId28" Type="http://schemas.openxmlformats.org/officeDocument/2006/relationships/hyperlink" Target="https://webgate.ec.europa.eu/europeaid/online-services/index.cfm?do=publi.welcome" TargetMode="External"/><Relationship Id="rId36" Type="http://schemas.openxmlformats.org/officeDocument/2006/relationships/hyperlink" Target="http://ec.europa.eu/europeaid/funding/procedures-beneficiary-countries-and-partners/financial-management-toolkit_en" TargetMode="External"/><Relationship Id="rId10" Type="http://schemas.openxmlformats.org/officeDocument/2006/relationships/hyperlink" Target="mailto:DELEGATION-ETHIOPIA-CSFIII@eeas.europa.eu" TargetMode="External"/><Relationship Id="rId19" Type="http://schemas.openxmlformats.org/officeDocument/2006/relationships/hyperlink" Target="https://webgate.ec.europa.eu/europeaid/online-" TargetMode="External"/><Relationship Id="rId31" Type="http://schemas.openxmlformats.org/officeDocument/2006/relationships/hyperlink" Target="http://ec.europa.eu/europeaid/funding/about-procurement-contracts/procedures-and-practical-guide-prag/diems_en" TargetMode="Externa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hyperlink" Target="http://ec.europa.eu/europeaid/pador_en" TargetMode="External"/><Relationship Id="rId22" Type="http://schemas.openxmlformats.org/officeDocument/2006/relationships/hyperlink" Target="%20https://webgate.ec.europa.eu/europeaid/prospect"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footer" Target="footer2.xml"/><Relationship Id="rId35" Type="http://schemas.openxmlformats.org/officeDocument/2006/relationships/hyperlink" Target="http://ec.europa.eu/europeaid/funding/procedures-beneficiary-countries-and-partners/financial-management-toolkit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onverter.html" TargetMode="External"/><Relationship Id="rId2" Type="http://schemas.openxmlformats.org/officeDocument/2006/relationships/hyperlink" Target="http://www.sanctionsmap.eu/" TargetMode="External"/><Relationship Id="rId1" Type="http://schemas.openxmlformats.org/officeDocument/2006/relationships/hyperlink" Target="http://www.timeanddate.com/worldclock/conver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F156C-F45A-48DE-926E-7C5A91FB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15347</Words>
  <Characters>87479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102621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TASSEW Mulugeta (EEAS-ADDIS ABABA)</dc:creator>
  <cp:lastModifiedBy>Andy Neill</cp:lastModifiedBy>
  <cp:revision>7</cp:revision>
  <cp:lastPrinted>2019-04-01T08:27:00Z</cp:lastPrinted>
  <dcterms:created xsi:type="dcterms:W3CDTF">2019-04-01T08:40:00Z</dcterms:created>
  <dcterms:modified xsi:type="dcterms:W3CDTF">2019-04-05T11:46:00Z</dcterms:modified>
</cp:coreProperties>
</file>