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E955" w14:textId="0C997E32" w:rsidR="008C41B4" w:rsidRPr="00BC6875" w:rsidRDefault="008D3562" w:rsidP="0052448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C6875">
        <w:rPr>
          <w:b/>
          <w:sz w:val="36"/>
          <w:szCs w:val="36"/>
        </w:rPr>
        <w:t xml:space="preserve">Procurement </w:t>
      </w:r>
      <w:r w:rsidR="00524487">
        <w:rPr>
          <w:b/>
          <w:sz w:val="36"/>
          <w:szCs w:val="36"/>
        </w:rPr>
        <w:t>by CSF-III Grant Beneficiaries</w:t>
      </w:r>
    </w:p>
    <w:p w14:paraId="22303C65" w14:textId="005E2789" w:rsidR="00E64D97" w:rsidRPr="00252CEF" w:rsidRDefault="00E64D97">
      <w:pPr>
        <w:rPr>
          <w:b/>
          <w:sz w:val="28"/>
          <w:szCs w:val="28"/>
        </w:rPr>
      </w:pPr>
      <w:r w:rsidRPr="00252CEF">
        <w:rPr>
          <w:b/>
          <w:sz w:val="28"/>
          <w:szCs w:val="28"/>
        </w:rPr>
        <w:t>Relevant General Conditions</w:t>
      </w:r>
    </w:p>
    <w:p w14:paraId="522FAE7A" w14:textId="3FF0734C" w:rsidR="00E64D97" w:rsidRDefault="00E64D97">
      <w:pPr>
        <w:rPr>
          <w:b/>
        </w:rPr>
      </w:pPr>
      <w:r>
        <w:rPr>
          <w:b/>
        </w:rPr>
        <w:t>Article 10 - Implementation</w:t>
      </w:r>
    </w:p>
    <w:p w14:paraId="27586E57" w14:textId="0CB6A8EA" w:rsidR="00E64D97" w:rsidRDefault="00E64D97" w:rsidP="003229E8">
      <w:pPr>
        <w:pStyle w:val="ListParagraph"/>
        <w:numPr>
          <w:ilvl w:val="0"/>
          <w:numId w:val="2"/>
        </w:numPr>
        <w:jc w:val="both"/>
        <w:rPr>
          <w:bCs/>
        </w:rPr>
      </w:pPr>
      <w:r w:rsidRPr="00E64D97">
        <w:rPr>
          <w:bCs/>
        </w:rPr>
        <w:t>Allows grantees to procure required goods, works and services, as long as they respect the rules set out in Annex IV of the contract.</w:t>
      </w:r>
    </w:p>
    <w:p w14:paraId="20E6514F" w14:textId="77777777" w:rsidR="00E64D97" w:rsidRDefault="00E64D97" w:rsidP="003229E8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Coordinators must provide a comprehensive and detailed report on the award and implementation of contracts in its six-monthly interim and final reports.</w:t>
      </w:r>
    </w:p>
    <w:p w14:paraId="64A126A8" w14:textId="77777777" w:rsidR="00827CFD" w:rsidRDefault="00E64D97" w:rsidP="003229E8">
      <w:pPr>
        <w:jc w:val="both"/>
        <w:rPr>
          <w:b/>
        </w:rPr>
      </w:pPr>
      <w:r w:rsidRPr="00E64D97">
        <w:rPr>
          <w:b/>
        </w:rPr>
        <w:t>Article 14</w:t>
      </w:r>
      <w:r>
        <w:rPr>
          <w:b/>
        </w:rPr>
        <w:t xml:space="preserve"> </w:t>
      </w:r>
      <w:r w:rsidR="00827CFD">
        <w:rPr>
          <w:b/>
        </w:rPr>
        <w:t>–</w:t>
      </w:r>
      <w:r>
        <w:rPr>
          <w:b/>
        </w:rPr>
        <w:t xml:space="preserve"> </w:t>
      </w:r>
      <w:r w:rsidR="00827CFD">
        <w:rPr>
          <w:b/>
        </w:rPr>
        <w:t>Eligible Costs</w:t>
      </w:r>
    </w:p>
    <w:p w14:paraId="3E5C25C7" w14:textId="18F73D44" w:rsidR="00363592" w:rsidRPr="00363592" w:rsidRDefault="00363592" w:rsidP="003229E8">
      <w:pPr>
        <w:pStyle w:val="ListParagraph"/>
        <w:numPr>
          <w:ilvl w:val="0"/>
          <w:numId w:val="3"/>
        </w:numPr>
        <w:jc w:val="both"/>
        <w:rPr>
          <w:bCs/>
          <w:i/>
          <w:iCs/>
        </w:rPr>
      </w:pPr>
      <w:r>
        <w:rPr>
          <w:b/>
        </w:rPr>
        <w:t xml:space="preserve">Services &amp; Works </w:t>
      </w:r>
      <w:r>
        <w:rPr>
          <w:bCs/>
          <w:i/>
          <w:iCs/>
        </w:rPr>
        <w:t>–</w:t>
      </w:r>
      <w:r w:rsidRPr="00363592">
        <w:rPr>
          <w:bCs/>
          <w:i/>
          <w:iCs/>
        </w:rPr>
        <w:t xml:space="preserve"> </w:t>
      </w:r>
      <w:r>
        <w:rPr>
          <w:bCs/>
        </w:rPr>
        <w:t>must be performed during the implementation period</w:t>
      </w:r>
    </w:p>
    <w:p w14:paraId="4F37E32F" w14:textId="5FF6218F" w:rsidR="00E64D97" w:rsidRPr="00363592" w:rsidRDefault="00363592" w:rsidP="003229E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Supplies </w:t>
      </w:r>
      <w:r w:rsidRPr="00363592">
        <w:rPr>
          <w:bCs/>
        </w:rPr>
        <w:t>– must be delivered &amp; installed within the implementation period</w:t>
      </w:r>
    </w:p>
    <w:p w14:paraId="00724C36" w14:textId="1E8F207C" w:rsidR="00363592" w:rsidRDefault="00363592" w:rsidP="003229E8">
      <w:pPr>
        <w:pStyle w:val="ListParagraph"/>
        <w:numPr>
          <w:ilvl w:val="0"/>
          <w:numId w:val="3"/>
        </w:numPr>
        <w:jc w:val="both"/>
        <w:rPr>
          <w:bCs/>
        </w:rPr>
      </w:pPr>
      <w:r w:rsidRPr="00363592">
        <w:rPr>
          <w:bCs/>
        </w:rPr>
        <w:t xml:space="preserve">They </w:t>
      </w:r>
      <w:r w:rsidR="003229E8">
        <w:rPr>
          <w:bCs/>
        </w:rPr>
        <w:t>must be i</w:t>
      </w:r>
      <w:r w:rsidRPr="00363592">
        <w:rPr>
          <w:bCs/>
        </w:rPr>
        <w:t>ndicated in the overall budget estimate</w:t>
      </w:r>
      <w:r>
        <w:rPr>
          <w:bCs/>
        </w:rPr>
        <w:t xml:space="preserve"> &amp; </w:t>
      </w:r>
      <w:r w:rsidR="003229E8">
        <w:rPr>
          <w:bCs/>
        </w:rPr>
        <w:t>be</w:t>
      </w:r>
      <w:r>
        <w:rPr>
          <w:bCs/>
        </w:rPr>
        <w:t xml:space="preserve"> necessary for the implementation of the action</w:t>
      </w:r>
    </w:p>
    <w:p w14:paraId="49871B2E" w14:textId="2C9CB733" w:rsidR="00363592" w:rsidRDefault="00363592" w:rsidP="003229E8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Costs incurred </w:t>
      </w:r>
      <w:r w:rsidR="005C74A0">
        <w:rPr>
          <w:bCs/>
        </w:rPr>
        <w:t>should be</w:t>
      </w:r>
      <w:r>
        <w:rPr>
          <w:bCs/>
        </w:rPr>
        <w:t xml:space="preserve"> identifiable &amp; verifiable</w:t>
      </w:r>
    </w:p>
    <w:p w14:paraId="60F9A590" w14:textId="7E465C55" w:rsidR="00363592" w:rsidRDefault="00363592" w:rsidP="003229E8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Conform with application tax &amp; social legislation</w:t>
      </w:r>
    </w:p>
    <w:p w14:paraId="6C512E66" w14:textId="6E4668AA" w:rsidR="00363592" w:rsidRPr="00363592" w:rsidRDefault="00363592" w:rsidP="003229E8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They </w:t>
      </w:r>
      <w:r w:rsidR="005C74A0">
        <w:rPr>
          <w:bCs/>
        </w:rPr>
        <w:t>must be</w:t>
      </w:r>
      <w:r>
        <w:rPr>
          <w:bCs/>
        </w:rPr>
        <w:t xml:space="preserve"> reasonable, justified &amp; comply with requirements of sound financial management, especially economy &amp; efficiency</w:t>
      </w:r>
      <w:r w:rsidR="003229E8">
        <w:rPr>
          <w:bCs/>
        </w:rPr>
        <w:t>.</w:t>
      </w:r>
    </w:p>
    <w:p w14:paraId="70029FF6" w14:textId="254D75E9" w:rsidR="00252CEF" w:rsidRPr="00252CEF" w:rsidRDefault="008D3562" w:rsidP="003229E8">
      <w:pPr>
        <w:jc w:val="both"/>
        <w:rPr>
          <w:b/>
          <w:sz w:val="28"/>
          <w:szCs w:val="28"/>
        </w:rPr>
      </w:pPr>
      <w:r w:rsidRPr="00252CEF">
        <w:rPr>
          <w:b/>
          <w:sz w:val="28"/>
          <w:szCs w:val="28"/>
        </w:rPr>
        <w:t xml:space="preserve">Annex IV </w:t>
      </w:r>
      <w:r w:rsidR="00252CEF">
        <w:rPr>
          <w:b/>
          <w:sz w:val="28"/>
          <w:szCs w:val="28"/>
        </w:rPr>
        <w:t>of Contract</w:t>
      </w:r>
    </w:p>
    <w:p w14:paraId="0E1E3341" w14:textId="29934DEE" w:rsidR="008D3562" w:rsidRPr="00906000" w:rsidRDefault="00252CEF" w:rsidP="003229E8">
      <w:pPr>
        <w:jc w:val="both"/>
        <w:rPr>
          <w:b/>
        </w:rPr>
      </w:pPr>
      <w:r>
        <w:rPr>
          <w:b/>
        </w:rPr>
        <w:t xml:space="preserve">Coordinator’s </w:t>
      </w:r>
      <w:r w:rsidR="00EB5858" w:rsidRPr="00534152">
        <w:rPr>
          <w:b/>
        </w:rPr>
        <w:t>m</w:t>
      </w:r>
      <w:r w:rsidR="00534152" w:rsidRPr="00534152">
        <w:rPr>
          <w:b/>
        </w:rPr>
        <w:t>ay</w:t>
      </w:r>
      <w:r w:rsidR="00EB5858" w:rsidRPr="00534152">
        <w:rPr>
          <w:b/>
        </w:rPr>
        <w:t xml:space="preserve"> follow </w:t>
      </w:r>
      <w:r w:rsidRPr="00534152">
        <w:rPr>
          <w:b/>
        </w:rPr>
        <w:t>own</w:t>
      </w:r>
      <w:r w:rsidR="00EB5858" w:rsidRPr="00534152">
        <w:rPr>
          <w:b/>
        </w:rPr>
        <w:t xml:space="preserve"> procurement</w:t>
      </w:r>
      <w:r w:rsidRPr="00534152">
        <w:rPr>
          <w:b/>
        </w:rPr>
        <w:t xml:space="preserve"> </w:t>
      </w:r>
      <w:r>
        <w:rPr>
          <w:b/>
        </w:rPr>
        <w:t xml:space="preserve">procedures. BUT </w:t>
      </w:r>
      <w:r w:rsidR="008D3562" w:rsidRPr="00906000">
        <w:rPr>
          <w:b/>
        </w:rPr>
        <w:t xml:space="preserve">General Principles </w:t>
      </w:r>
      <w:r w:rsidR="008D3562" w:rsidRPr="00906000">
        <w:rPr>
          <w:b/>
          <w:u w:val="single"/>
        </w:rPr>
        <w:t>must</w:t>
      </w:r>
      <w:r w:rsidR="008D3562" w:rsidRPr="00906000">
        <w:rPr>
          <w:b/>
        </w:rPr>
        <w:t xml:space="preserve"> be observed, </w:t>
      </w:r>
      <w:proofErr w:type="spellStart"/>
      <w:r w:rsidR="008D3562" w:rsidRPr="00906000">
        <w:rPr>
          <w:b/>
        </w:rPr>
        <w:t>ie</w:t>
      </w:r>
      <w:proofErr w:type="spellEnd"/>
      <w:r w:rsidR="008D3562" w:rsidRPr="00906000">
        <w:rPr>
          <w:b/>
        </w:rPr>
        <w:t>.</w:t>
      </w:r>
    </w:p>
    <w:p w14:paraId="027FF7D3" w14:textId="02530783" w:rsidR="00CB0846" w:rsidRDefault="00CB0846" w:rsidP="003229E8">
      <w:pPr>
        <w:pStyle w:val="ListParagraph"/>
        <w:numPr>
          <w:ilvl w:val="0"/>
          <w:numId w:val="6"/>
        </w:numPr>
        <w:jc w:val="both"/>
      </w:pPr>
      <w:r>
        <w:t>Processes should demonstrate transparency and fair competition, and avoid conflicts of interest</w:t>
      </w:r>
    </w:p>
    <w:p w14:paraId="4653E65D" w14:textId="3FFBF71D" w:rsidR="00CB0846" w:rsidRDefault="00CB0846" w:rsidP="003229E8">
      <w:pPr>
        <w:pStyle w:val="ListParagraph"/>
        <w:numPr>
          <w:ilvl w:val="0"/>
          <w:numId w:val="6"/>
        </w:numPr>
        <w:jc w:val="both"/>
      </w:pPr>
      <w:r>
        <w:t>Thus, tenders should generally be open to all. If invitation to tender is restricted, the beneficiary must be able to justify its choices</w:t>
      </w:r>
    </w:p>
    <w:p w14:paraId="4043DA91" w14:textId="206E5695" w:rsidR="00CB0846" w:rsidRDefault="00CB0846" w:rsidP="003229E8">
      <w:pPr>
        <w:pStyle w:val="ListParagraph"/>
        <w:numPr>
          <w:ilvl w:val="0"/>
          <w:numId w:val="6"/>
        </w:numPr>
        <w:jc w:val="both"/>
      </w:pPr>
      <w:r>
        <w:t>Tender documents should include objective criteria against which offer</w:t>
      </w:r>
      <w:r w:rsidR="003229E8">
        <w:t>s</w:t>
      </w:r>
      <w:r>
        <w:t xml:space="preserve"> received can be evaluated</w:t>
      </w:r>
    </w:p>
    <w:p w14:paraId="36DB8AB3" w14:textId="5CCD91A3" w:rsidR="008D3562" w:rsidRDefault="008D3562" w:rsidP="003229E8">
      <w:pPr>
        <w:pStyle w:val="ListParagraph"/>
        <w:numPr>
          <w:ilvl w:val="0"/>
          <w:numId w:val="6"/>
        </w:numPr>
        <w:jc w:val="both"/>
      </w:pPr>
      <w:r>
        <w:t>For supplies and works, tender offering the best price</w:t>
      </w:r>
      <w:r w:rsidR="00CB0846">
        <w:t xml:space="preserve"> should be selected</w:t>
      </w:r>
    </w:p>
    <w:p w14:paraId="4BAD39B8" w14:textId="673CF003" w:rsidR="001C70AF" w:rsidRDefault="008D3562" w:rsidP="003229E8">
      <w:pPr>
        <w:pStyle w:val="ListParagraph"/>
        <w:numPr>
          <w:ilvl w:val="0"/>
          <w:numId w:val="6"/>
        </w:numPr>
        <w:jc w:val="both"/>
      </w:pPr>
      <w:r>
        <w:t>For services, or works / supplies offering after-sales, tender offering best price-quality ratio</w:t>
      </w:r>
      <w:r w:rsidR="001C70AF" w:rsidRPr="001C70AF">
        <w:t xml:space="preserve"> </w:t>
      </w:r>
      <w:r w:rsidR="00CB0846">
        <w:t>should be selected</w:t>
      </w:r>
    </w:p>
    <w:p w14:paraId="1F64BF49" w14:textId="2FBDE17B" w:rsidR="008D3562" w:rsidRPr="001F306D" w:rsidRDefault="001F306D" w:rsidP="003229E8">
      <w:pPr>
        <w:jc w:val="both"/>
        <w:rPr>
          <w:b/>
          <w:bCs/>
          <w:sz w:val="28"/>
          <w:szCs w:val="28"/>
        </w:rPr>
      </w:pPr>
      <w:r w:rsidRPr="001F306D">
        <w:rPr>
          <w:b/>
          <w:bCs/>
          <w:sz w:val="28"/>
          <w:szCs w:val="28"/>
        </w:rPr>
        <w:t>Examples of Good Practice</w:t>
      </w:r>
    </w:p>
    <w:p w14:paraId="4B5B09D3" w14:textId="2E21BAD2" w:rsidR="001F306D" w:rsidRPr="001F306D" w:rsidRDefault="001F306D" w:rsidP="003229E8">
      <w:pPr>
        <w:jc w:val="both"/>
        <w:rPr>
          <w:b/>
          <w:bCs/>
        </w:rPr>
      </w:pPr>
      <w:r w:rsidRPr="001F306D">
        <w:rPr>
          <w:b/>
          <w:bCs/>
        </w:rPr>
        <w:t xml:space="preserve">Supplies – </w:t>
      </w:r>
    </w:p>
    <w:p w14:paraId="127237D5" w14:textId="77777777" w:rsidR="00E04539" w:rsidRDefault="001F306D" w:rsidP="003229E8">
      <w:pPr>
        <w:pStyle w:val="ListParagraph"/>
        <w:numPr>
          <w:ilvl w:val="0"/>
          <w:numId w:val="7"/>
        </w:numPr>
        <w:jc w:val="both"/>
        <w:sectPr w:rsidR="00E04539" w:rsidSect="00292561">
          <w:headerReference w:type="default" r:id="rId7"/>
          <w:footerReference w:type="default" r:id="rId8"/>
          <w:pgSz w:w="11906" w:h="16838"/>
          <w:pgMar w:top="1440" w:right="1440" w:bottom="1440" w:left="1440" w:header="708" w:footer="371" w:gutter="0"/>
          <w:cols w:space="708"/>
          <w:docGrid w:linePitch="360"/>
        </w:sectPr>
      </w:pPr>
      <w:r>
        <w:t xml:space="preserve">Draw up clear specifications. </w:t>
      </w:r>
      <w:r w:rsidR="00553EAD">
        <w:t xml:space="preserve">Avoid use of brand names. </w:t>
      </w:r>
      <w:r>
        <w:t xml:space="preserve">In case of construction materials, draw up </w:t>
      </w:r>
      <w:r w:rsidR="00553EAD">
        <w:t xml:space="preserve">detailed </w:t>
      </w:r>
      <w:r>
        <w:t xml:space="preserve">Bills of Quantities. Invite quotations from at least three suppliers. </w:t>
      </w:r>
    </w:p>
    <w:p w14:paraId="0E891584" w14:textId="4F135573" w:rsidR="001F306D" w:rsidRDefault="001F306D" w:rsidP="003229E8">
      <w:pPr>
        <w:pStyle w:val="ListParagraph"/>
        <w:numPr>
          <w:ilvl w:val="0"/>
          <w:numId w:val="7"/>
        </w:numPr>
        <w:jc w:val="both"/>
      </w:pPr>
      <w:r>
        <w:lastRenderedPageBreak/>
        <w:t>If larger tender, Open Procedure should be used. Otherwise, at least three firms (</w:t>
      </w:r>
      <w:proofErr w:type="spellStart"/>
      <w:r>
        <w:t>ie</w:t>
      </w:r>
      <w:proofErr w:type="spellEnd"/>
      <w:r>
        <w:t xml:space="preserve">. reputable, nationally recognised companies with a justification for the choice) should be identified. The candidates are sent a letter of invitation to tender, accompanied by a tender dossier template. </w:t>
      </w:r>
      <w:bookmarkStart w:id="1" w:name="_Hlk32837162"/>
      <w:r>
        <w:t xml:space="preserve">Chosen candidates return fully completed tenders by the specified deadline. </w:t>
      </w:r>
      <w:bookmarkEnd w:id="1"/>
      <w:r>
        <w:t>(Allow sufficient time from invitation to tender).</w:t>
      </w:r>
    </w:p>
    <w:p w14:paraId="33C1FEB6" w14:textId="69D32943" w:rsidR="008C16E2" w:rsidRPr="008C16E2" w:rsidRDefault="008C16E2" w:rsidP="008C16E2">
      <w:pPr>
        <w:rPr>
          <w:b/>
          <w:bCs/>
        </w:rPr>
      </w:pPr>
      <w:r w:rsidRPr="008C16E2">
        <w:rPr>
          <w:b/>
          <w:bCs/>
        </w:rPr>
        <w:t>Services</w:t>
      </w:r>
      <w:r>
        <w:rPr>
          <w:b/>
          <w:bCs/>
        </w:rPr>
        <w:t xml:space="preserve"> </w:t>
      </w:r>
      <w:r w:rsidRPr="008C16E2">
        <w:rPr>
          <w:b/>
          <w:bCs/>
        </w:rPr>
        <w:t>-</w:t>
      </w:r>
    </w:p>
    <w:p w14:paraId="4E6E7454" w14:textId="14009BD6" w:rsidR="008C16E2" w:rsidRDefault="008C16E2" w:rsidP="008C16E2">
      <w:pPr>
        <w:pStyle w:val="ListParagraph"/>
        <w:numPr>
          <w:ilvl w:val="0"/>
          <w:numId w:val="7"/>
        </w:numPr>
        <w:jc w:val="both"/>
      </w:pPr>
      <w:r>
        <w:t>Draw up clear Terms of Reference detailing deliverables. Specify qualifications and experience required of contractor. Invite proposals from at least three suitably qualified contractors along with price.</w:t>
      </w:r>
      <w:r w:rsidR="00553EAD">
        <w:t xml:space="preserve"> Chosen candidates return fully completed offers by the specified deadline. </w:t>
      </w:r>
      <w:r>
        <w:t xml:space="preserve"> (Allow sufficient time from invitation to tender).</w:t>
      </w:r>
    </w:p>
    <w:p w14:paraId="26A84449" w14:textId="0BB17741" w:rsidR="001F306D" w:rsidRDefault="00553EAD" w:rsidP="00553EAD">
      <w:pPr>
        <w:rPr>
          <w:b/>
          <w:bCs/>
        </w:rPr>
      </w:pPr>
      <w:r>
        <w:rPr>
          <w:b/>
          <w:bCs/>
        </w:rPr>
        <w:t xml:space="preserve">Works – </w:t>
      </w:r>
    </w:p>
    <w:p w14:paraId="18022B8E" w14:textId="4CB23ED4" w:rsidR="00553EAD" w:rsidRPr="00553EAD" w:rsidRDefault="00553EAD" w:rsidP="003229E8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t>Draw up clear Technical Specifications. Preference for open tender procedures</w:t>
      </w:r>
      <w:r w:rsidR="003229E8">
        <w:t>, especially for larger projects</w:t>
      </w:r>
      <w:r>
        <w:t>. If justifiable, invite offers from at least three suitably experienced, registered contractors. Chosen candidates return fully completed tenders by the specified deadline. (Allow sufficient time from invitation to tender).</w:t>
      </w:r>
    </w:p>
    <w:p w14:paraId="3B90D948" w14:textId="5290D5CF" w:rsidR="001F306D" w:rsidRDefault="003229E8" w:rsidP="00553EAD">
      <w:pPr>
        <w:rPr>
          <w:b/>
          <w:bCs/>
        </w:rPr>
      </w:pPr>
      <w:r>
        <w:rPr>
          <w:b/>
          <w:bCs/>
        </w:rPr>
        <w:t>Means of S</w:t>
      </w:r>
      <w:r w:rsidR="00553EAD">
        <w:rPr>
          <w:b/>
          <w:bCs/>
        </w:rPr>
        <w:t>e</w:t>
      </w:r>
      <w:r w:rsidR="005C74A0">
        <w:rPr>
          <w:b/>
          <w:bCs/>
        </w:rPr>
        <w:t>le</w:t>
      </w:r>
      <w:r w:rsidR="00553EAD">
        <w:rPr>
          <w:b/>
          <w:bCs/>
        </w:rPr>
        <w:t>ction</w:t>
      </w:r>
      <w:r>
        <w:rPr>
          <w:b/>
          <w:bCs/>
        </w:rPr>
        <w:t xml:space="preserve"> </w:t>
      </w:r>
      <w:r w:rsidR="00553EAD">
        <w:rPr>
          <w:b/>
          <w:bCs/>
        </w:rPr>
        <w:t>-</w:t>
      </w:r>
    </w:p>
    <w:p w14:paraId="792314BC" w14:textId="574E7CDE" w:rsidR="001F306D" w:rsidRPr="00553EAD" w:rsidRDefault="008C16E2" w:rsidP="003229E8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t>Establish an Evaluation Committee</w:t>
      </w:r>
      <w:r w:rsidR="00553EAD">
        <w:t xml:space="preserve"> with sufficient expertise</w:t>
      </w:r>
      <w:r>
        <w:t>. Committee members sign declaration</w:t>
      </w:r>
      <w:r w:rsidR="00553EAD">
        <w:t>s</w:t>
      </w:r>
      <w:r>
        <w:t xml:space="preserve"> of impartiality. </w:t>
      </w:r>
    </w:p>
    <w:p w14:paraId="41441231" w14:textId="0F1C76E9" w:rsidR="008C16E2" w:rsidRDefault="008C16E2" w:rsidP="003229E8">
      <w:pPr>
        <w:pStyle w:val="ListParagraph"/>
        <w:numPr>
          <w:ilvl w:val="0"/>
          <w:numId w:val="7"/>
        </w:numPr>
        <w:jc w:val="both"/>
      </w:pPr>
      <w:r>
        <w:t xml:space="preserve">Evaluation Committee open and evaluate tenders. Minutes of proceedings / evaluation report </w:t>
      </w:r>
      <w:r w:rsidR="00553EAD">
        <w:t xml:space="preserve">explaining the committee’s decision </w:t>
      </w:r>
      <w:r>
        <w:t>compiled as supporting document. Evaluation report prepared and approved by the Director / Board as required</w:t>
      </w:r>
      <w:r w:rsidR="003229E8">
        <w:t>.</w:t>
      </w:r>
    </w:p>
    <w:p w14:paraId="301F26DC" w14:textId="5E942856" w:rsidR="00553EAD" w:rsidRPr="00553EAD" w:rsidRDefault="00553EAD" w:rsidP="008C16E2">
      <w:pPr>
        <w:rPr>
          <w:b/>
          <w:bCs/>
        </w:rPr>
      </w:pPr>
      <w:r w:rsidRPr="00553EAD">
        <w:rPr>
          <w:b/>
          <w:bCs/>
        </w:rPr>
        <w:t xml:space="preserve">Supporting documents for payment - </w:t>
      </w:r>
    </w:p>
    <w:p w14:paraId="3C407477" w14:textId="5C61A3BC" w:rsidR="008C16E2" w:rsidRPr="00534152" w:rsidRDefault="0044318E" w:rsidP="0044318E">
      <w:pPr>
        <w:pStyle w:val="ListParagraph"/>
        <w:numPr>
          <w:ilvl w:val="0"/>
          <w:numId w:val="8"/>
        </w:numPr>
      </w:pPr>
      <w:r>
        <w:t xml:space="preserve">Supplies: </w:t>
      </w:r>
      <w:r w:rsidR="008C16E2">
        <w:t>Goods Received Note / Certificate of Acceptance to confirm correct quantity and quality of supply delivered</w:t>
      </w:r>
      <w:r w:rsidRPr="00534152">
        <w:t xml:space="preserve">, </w:t>
      </w:r>
      <w:r w:rsidR="00EB5858" w:rsidRPr="00534152">
        <w:t xml:space="preserve">purchase order </w:t>
      </w:r>
      <w:r w:rsidRPr="00534152">
        <w:t>plus</w:t>
      </w:r>
      <w:r w:rsidR="00EB5858" w:rsidRPr="00534152">
        <w:t xml:space="preserve"> valid</w:t>
      </w:r>
      <w:r w:rsidRPr="00534152">
        <w:t xml:space="preserve"> invoice</w:t>
      </w:r>
    </w:p>
    <w:p w14:paraId="6E090C2D" w14:textId="4F1BC880" w:rsidR="008C16E2" w:rsidRDefault="0044318E" w:rsidP="0044318E">
      <w:pPr>
        <w:pStyle w:val="ListParagraph"/>
        <w:numPr>
          <w:ilvl w:val="0"/>
          <w:numId w:val="8"/>
        </w:numPr>
      </w:pPr>
      <w:r>
        <w:t xml:space="preserve">Services: </w:t>
      </w:r>
      <w:r w:rsidR="008C16E2">
        <w:t xml:space="preserve">Completion Report from Contractor along </w:t>
      </w:r>
      <w:r w:rsidR="008C16E2" w:rsidRPr="00534152">
        <w:t xml:space="preserve">with </w:t>
      </w:r>
      <w:r w:rsidR="00EB5858" w:rsidRPr="00534152">
        <w:t xml:space="preserve">valid </w:t>
      </w:r>
      <w:r w:rsidR="008C16E2" w:rsidRPr="00534152">
        <w:t>invoice</w:t>
      </w:r>
      <w:r w:rsidR="00EB5858" w:rsidRPr="00534152">
        <w:t>s</w:t>
      </w:r>
      <w:r w:rsidR="003229E8" w:rsidRPr="00534152">
        <w:t xml:space="preserve"> </w:t>
      </w:r>
      <w:r w:rsidR="003229E8">
        <w:t>and timesheets</w:t>
      </w:r>
    </w:p>
    <w:p w14:paraId="7A8B08F9" w14:textId="2DF32B0D" w:rsidR="00553EAD" w:rsidRDefault="00553EAD" w:rsidP="0044318E">
      <w:pPr>
        <w:pStyle w:val="ListParagraph"/>
        <w:numPr>
          <w:ilvl w:val="0"/>
          <w:numId w:val="8"/>
        </w:numPr>
      </w:pPr>
      <w:r>
        <w:t>Certificate of acceptance</w:t>
      </w:r>
      <w:r w:rsidR="0044318E">
        <w:t xml:space="preserve">, </w:t>
      </w:r>
      <w:r w:rsidR="0044318E" w:rsidRPr="00534152">
        <w:t>plus</w:t>
      </w:r>
      <w:r w:rsidR="00EB5858" w:rsidRPr="00534152">
        <w:t xml:space="preserve"> valid</w:t>
      </w:r>
      <w:r w:rsidR="0044318E" w:rsidRPr="00534152">
        <w:t xml:space="preserve"> invoice</w:t>
      </w:r>
      <w:r w:rsidR="0044318E">
        <w:t>.</w:t>
      </w:r>
    </w:p>
    <w:p w14:paraId="7D20D5EB" w14:textId="3F25EC07" w:rsidR="00906136" w:rsidRPr="0044318E" w:rsidRDefault="001C70AF">
      <w:pPr>
        <w:rPr>
          <w:b/>
          <w:sz w:val="28"/>
          <w:szCs w:val="28"/>
        </w:rPr>
      </w:pPr>
      <w:r w:rsidRPr="0044318E">
        <w:rPr>
          <w:b/>
          <w:sz w:val="28"/>
          <w:szCs w:val="28"/>
        </w:rPr>
        <w:t>Rules on Nationality and Origin</w:t>
      </w:r>
    </w:p>
    <w:p w14:paraId="72B487B3" w14:textId="2E2E6659" w:rsidR="001C70AF" w:rsidRPr="001C70AF" w:rsidRDefault="001C70AF" w:rsidP="001C70AF">
      <w:pPr>
        <w:pStyle w:val="ListParagraph"/>
        <w:numPr>
          <w:ilvl w:val="0"/>
          <w:numId w:val="4"/>
        </w:numPr>
        <w:rPr>
          <w:bCs/>
        </w:rPr>
      </w:pPr>
      <w:r w:rsidRPr="001C70AF">
        <w:rPr>
          <w:bCs/>
        </w:rPr>
        <w:t>Supplies may originate from any country as long as the costs per purchase do not exceed EUR 10</w:t>
      </w:r>
      <w:r w:rsidR="005C74A0">
        <w:rPr>
          <w:bCs/>
        </w:rPr>
        <w:t>0,</w:t>
      </w:r>
      <w:r w:rsidRPr="001C70AF">
        <w:rPr>
          <w:bCs/>
        </w:rPr>
        <w:t>000</w:t>
      </w:r>
    </w:p>
    <w:p w14:paraId="0FD72BC7" w14:textId="3BBDED77" w:rsidR="00252CEF" w:rsidRDefault="00252CEF">
      <w:pPr>
        <w:rPr>
          <w:b/>
        </w:rPr>
      </w:pPr>
      <w:r>
        <w:rPr>
          <w:b/>
        </w:rPr>
        <w:t xml:space="preserve">NOTE: Contracting Authority will carryout </w:t>
      </w:r>
      <w:r w:rsidRPr="001C70AF">
        <w:rPr>
          <w:b/>
          <w:i/>
          <w:iCs/>
        </w:rPr>
        <w:t>ex post</w:t>
      </w:r>
      <w:r>
        <w:rPr>
          <w:b/>
        </w:rPr>
        <w:t xml:space="preserve"> checks</w:t>
      </w:r>
      <w:r w:rsidR="001C70AF">
        <w:rPr>
          <w:b/>
        </w:rPr>
        <w:t xml:space="preserve">. Failure to comply with the </w:t>
      </w:r>
      <w:r w:rsidR="005C74A0">
        <w:rPr>
          <w:b/>
        </w:rPr>
        <w:t xml:space="preserve">rules &amp; </w:t>
      </w:r>
      <w:r w:rsidR="001C70AF">
        <w:rPr>
          <w:b/>
        </w:rPr>
        <w:t>principles outlined above will render expenditure ineligible.</w:t>
      </w:r>
    </w:p>
    <w:p w14:paraId="3CAA691C" w14:textId="77777777" w:rsidR="00906136" w:rsidRDefault="00906136"/>
    <w:p w14:paraId="451E52F0" w14:textId="77777777" w:rsidR="001A6C6A" w:rsidRDefault="001A6C6A"/>
    <w:sectPr w:rsidR="001A6C6A" w:rsidSect="003045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1B669" w14:textId="77777777" w:rsidR="009D2E14" w:rsidRDefault="009D2E14" w:rsidP="00E04539">
      <w:pPr>
        <w:spacing w:after="0" w:line="240" w:lineRule="auto"/>
      </w:pPr>
      <w:r>
        <w:separator/>
      </w:r>
    </w:p>
  </w:endnote>
  <w:endnote w:type="continuationSeparator" w:id="0">
    <w:p w14:paraId="0D254620" w14:textId="77777777" w:rsidR="009D2E14" w:rsidRDefault="009D2E14" w:rsidP="00E0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9C56" w14:textId="77777777" w:rsidR="00E04539" w:rsidRDefault="00E04539" w:rsidP="00E045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FC297" wp14:editId="336912E4">
              <wp:simplePos x="0" y="0"/>
              <wp:positionH relativeFrom="column">
                <wp:posOffset>-882650</wp:posOffset>
              </wp:positionH>
              <wp:positionV relativeFrom="paragraph">
                <wp:posOffset>168910</wp:posOffset>
              </wp:positionV>
              <wp:extent cx="75247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7E51E3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pt,13.3pt" to="52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" strokecolor="black [3213]"/>
          </w:pict>
        </mc:Fallback>
      </mc:AlternateContent>
    </w:r>
    <w:r>
      <w:ptab w:relativeTo="margin" w:alignment="center" w:leader="none"/>
    </w:r>
    <w:r w:rsidRPr="00403972">
      <w:rPr>
        <w:b/>
        <w:color w:val="4F81BD" w:themeColor="accent1"/>
      </w:rPr>
      <w:t>A Programme Funded by the European Union</w:t>
    </w:r>
    <w:r>
      <w:ptab w:relativeTo="margin" w:alignment="right" w:leader="none"/>
    </w:r>
  </w:p>
  <w:p w14:paraId="7C818D58" w14:textId="77777777" w:rsidR="00E04539" w:rsidRDefault="00E04539" w:rsidP="00E04539">
    <w:pPr>
      <w:pStyle w:val="Footer"/>
      <w:jc w:val="center"/>
    </w:pPr>
    <w:r>
      <w:t xml:space="preserve">NOAH Centurium Building (near Atlas Hotel, accessed just before Cyan City Hotel), </w:t>
    </w:r>
  </w:p>
  <w:p w14:paraId="11185DB6" w14:textId="77777777" w:rsidR="00E04539" w:rsidRDefault="00E04539" w:rsidP="00E04539">
    <w:pPr>
      <w:pStyle w:val="Footer"/>
      <w:jc w:val="center"/>
    </w:pPr>
    <w:r>
      <w:t>Mickey Leyland Street, Bole Sub-City, Addis Ababa – Ethiopia</w:t>
    </w:r>
  </w:p>
  <w:p w14:paraId="7FDEF269" w14:textId="77777777" w:rsidR="00E04539" w:rsidRDefault="00E04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094A" w14:textId="77777777" w:rsidR="009D2E14" w:rsidRDefault="009D2E14" w:rsidP="00E04539">
      <w:pPr>
        <w:spacing w:after="0" w:line="240" w:lineRule="auto"/>
      </w:pPr>
      <w:r>
        <w:separator/>
      </w:r>
    </w:p>
  </w:footnote>
  <w:footnote w:type="continuationSeparator" w:id="0">
    <w:p w14:paraId="40348AB3" w14:textId="77777777" w:rsidR="009D2E14" w:rsidRDefault="009D2E14" w:rsidP="00E0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3280" w14:textId="61875757" w:rsidR="00E04539" w:rsidRDefault="00E045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3C64" wp14:editId="49A26922">
          <wp:simplePos x="0" y="0"/>
          <wp:positionH relativeFrom="column">
            <wp:posOffset>-810260</wp:posOffset>
          </wp:positionH>
          <wp:positionV relativeFrom="paragraph">
            <wp:posOffset>-372257</wp:posOffset>
          </wp:positionV>
          <wp:extent cx="7344410" cy="1327150"/>
          <wp:effectExtent l="0" t="0" r="8890" b="6350"/>
          <wp:wrapTight wrapText="bothSides">
            <wp:wrapPolygon edited="0">
              <wp:start x="0" y="0"/>
              <wp:lineTo x="0" y="21393"/>
              <wp:lineTo x="21570" y="21393"/>
              <wp:lineTo x="2157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41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15CF" w14:textId="1599A25C" w:rsidR="00E04539" w:rsidRDefault="00E04539">
    <w:pPr>
      <w:pStyle w:val="Header"/>
    </w:pPr>
  </w:p>
  <w:p w14:paraId="313B5914" w14:textId="77777777" w:rsidR="00E04539" w:rsidRDefault="00E04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914"/>
    <w:multiLevelType w:val="hybridMultilevel"/>
    <w:tmpl w:val="7194C16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66E2B"/>
    <w:multiLevelType w:val="hybridMultilevel"/>
    <w:tmpl w:val="64CC6E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731D"/>
    <w:multiLevelType w:val="hybridMultilevel"/>
    <w:tmpl w:val="C24443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4884"/>
    <w:multiLevelType w:val="hybridMultilevel"/>
    <w:tmpl w:val="68D8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02F43"/>
    <w:multiLevelType w:val="hybridMultilevel"/>
    <w:tmpl w:val="300ED0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7A1"/>
    <w:multiLevelType w:val="hybridMultilevel"/>
    <w:tmpl w:val="56427F60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E243866"/>
    <w:multiLevelType w:val="hybridMultilevel"/>
    <w:tmpl w:val="F230B2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74FB0"/>
    <w:multiLevelType w:val="hybridMultilevel"/>
    <w:tmpl w:val="9FD899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3562"/>
    <w:rsid w:val="00117B0D"/>
    <w:rsid w:val="001745BD"/>
    <w:rsid w:val="001A6C6A"/>
    <w:rsid w:val="001C2A4D"/>
    <w:rsid w:val="001C70AF"/>
    <w:rsid w:val="001F1E9A"/>
    <w:rsid w:val="001F306D"/>
    <w:rsid w:val="00252CEF"/>
    <w:rsid w:val="00292561"/>
    <w:rsid w:val="003045DA"/>
    <w:rsid w:val="003229E8"/>
    <w:rsid w:val="00336CDC"/>
    <w:rsid w:val="00352769"/>
    <w:rsid w:val="00363592"/>
    <w:rsid w:val="003C0E52"/>
    <w:rsid w:val="003D60AC"/>
    <w:rsid w:val="00400C07"/>
    <w:rsid w:val="0044318E"/>
    <w:rsid w:val="00471B1A"/>
    <w:rsid w:val="004B733E"/>
    <w:rsid w:val="00524487"/>
    <w:rsid w:val="00534152"/>
    <w:rsid w:val="00553EAD"/>
    <w:rsid w:val="005C74A0"/>
    <w:rsid w:val="00683094"/>
    <w:rsid w:val="006C73D4"/>
    <w:rsid w:val="0077690D"/>
    <w:rsid w:val="007C599C"/>
    <w:rsid w:val="00827CFD"/>
    <w:rsid w:val="00884C79"/>
    <w:rsid w:val="008C16E2"/>
    <w:rsid w:val="008C41B4"/>
    <w:rsid w:val="008D3562"/>
    <w:rsid w:val="008D7C43"/>
    <w:rsid w:val="00906000"/>
    <w:rsid w:val="00906136"/>
    <w:rsid w:val="00937ECA"/>
    <w:rsid w:val="009D2E14"/>
    <w:rsid w:val="00B750A3"/>
    <w:rsid w:val="00BC6875"/>
    <w:rsid w:val="00BF6C7E"/>
    <w:rsid w:val="00CB0846"/>
    <w:rsid w:val="00E04539"/>
    <w:rsid w:val="00E64D97"/>
    <w:rsid w:val="00E95261"/>
    <w:rsid w:val="00EB5858"/>
    <w:rsid w:val="00F404DB"/>
    <w:rsid w:val="00F5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92C21"/>
  <w15:docId w15:val="{CED7407B-D668-40D3-943C-0826D442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62"/>
    <w:pPr>
      <w:ind w:left="720"/>
      <w:contextualSpacing/>
    </w:pPr>
  </w:style>
  <w:style w:type="table" w:styleId="TableGrid">
    <w:name w:val="Table Grid"/>
    <w:basedOn w:val="TableNormal"/>
    <w:uiPriority w:val="59"/>
    <w:rsid w:val="008D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39"/>
  </w:style>
  <w:style w:type="paragraph" w:styleId="Footer">
    <w:name w:val="footer"/>
    <w:basedOn w:val="Normal"/>
    <w:link w:val="FooterChar"/>
    <w:uiPriority w:val="99"/>
    <w:unhideWhenUsed/>
    <w:rsid w:val="00E0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Beruk Negash</cp:lastModifiedBy>
  <cp:revision>2</cp:revision>
  <cp:lastPrinted>2014-10-08T06:47:00Z</cp:lastPrinted>
  <dcterms:created xsi:type="dcterms:W3CDTF">2020-03-19T08:47:00Z</dcterms:created>
  <dcterms:modified xsi:type="dcterms:W3CDTF">2020-03-19T08:47:00Z</dcterms:modified>
</cp:coreProperties>
</file>