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82E6" w14:textId="2E56206B" w:rsidR="00C767E0" w:rsidRPr="00123C72" w:rsidRDefault="00C767E0" w:rsidP="00123C72">
      <w:pPr>
        <w:jc w:val="center"/>
        <w:rPr>
          <w:b/>
          <w:bCs/>
          <w:sz w:val="28"/>
          <w:szCs w:val="28"/>
        </w:rPr>
      </w:pPr>
      <w:bookmarkStart w:id="0" w:name="_Toc19611191"/>
      <w:bookmarkStart w:id="1" w:name="_Toc21685896"/>
      <w:bookmarkStart w:id="2" w:name="_GoBack"/>
      <w:bookmarkEnd w:id="2"/>
      <w:r w:rsidRPr="00123C72">
        <w:rPr>
          <w:b/>
          <w:bCs/>
          <w:sz w:val="28"/>
          <w:szCs w:val="28"/>
        </w:rPr>
        <w:t xml:space="preserve">Guidelines </w:t>
      </w:r>
      <w:r w:rsidR="00E93D1D" w:rsidRPr="00123C72">
        <w:rPr>
          <w:b/>
          <w:bCs/>
          <w:sz w:val="28"/>
          <w:szCs w:val="28"/>
        </w:rPr>
        <w:t xml:space="preserve">for </w:t>
      </w:r>
      <w:r w:rsidRPr="00123C72">
        <w:rPr>
          <w:b/>
          <w:bCs/>
          <w:sz w:val="28"/>
          <w:szCs w:val="28"/>
        </w:rPr>
        <w:t>Develop</w:t>
      </w:r>
      <w:r w:rsidR="00E93D1D" w:rsidRPr="00123C72">
        <w:rPr>
          <w:b/>
          <w:bCs/>
          <w:sz w:val="28"/>
          <w:szCs w:val="28"/>
        </w:rPr>
        <w:t xml:space="preserve">ing a </w:t>
      </w:r>
      <w:r w:rsidRPr="00123C72">
        <w:rPr>
          <w:b/>
          <w:bCs/>
          <w:sz w:val="28"/>
          <w:szCs w:val="28"/>
        </w:rPr>
        <w:t>Monitoring and Evaluation Plan (M&amp;E Plan)</w:t>
      </w:r>
      <w:bookmarkEnd w:id="0"/>
    </w:p>
    <w:p w14:paraId="40A6E8BB" w14:textId="4B5BB86A" w:rsidR="00123C72" w:rsidRDefault="00123C72" w:rsidP="00123C72">
      <w:pPr>
        <w:pStyle w:val="Heading2"/>
      </w:pPr>
      <w:r>
        <w:t>Introduction</w:t>
      </w:r>
    </w:p>
    <w:p w14:paraId="6CFB6F12" w14:textId="28052D14" w:rsidR="00CD344C" w:rsidRPr="00E93D1D" w:rsidRDefault="00C767E0" w:rsidP="00C767E0">
      <w:pPr>
        <w:spacing w:after="0" w:line="288" w:lineRule="auto"/>
      </w:pPr>
      <w:r>
        <w:t xml:space="preserve">While the Logical Framework Matrix (LFM) developed by the CSF-III grant beneficiaries and approved as part of the grants contract by the Contracting Authority </w:t>
      </w:r>
      <w:r w:rsidR="00E93D1D">
        <w:t xml:space="preserve">represents </w:t>
      </w:r>
      <w:r>
        <w:t xml:space="preserve">a general overview of what the project intends to implement and achieve, </w:t>
      </w:r>
      <w:r w:rsidRPr="00D80A50">
        <w:t xml:space="preserve">a comprehensive </w:t>
      </w:r>
      <w:r>
        <w:t>M&amp;E Plan provides the monitoring</w:t>
      </w:r>
      <w:r w:rsidRPr="00D80A50">
        <w:t xml:space="preserve"> framework to </w:t>
      </w:r>
      <w:r w:rsidRPr="007A703B">
        <w:rPr>
          <w:b/>
        </w:rPr>
        <w:t>collect</w:t>
      </w:r>
      <w:r w:rsidRPr="00D80A50">
        <w:t xml:space="preserve">, </w:t>
      </w:r>
      <w:r>
        <w:rPr>
          <w:b/>
        </w:rPr>
        <w:t>analyse and</w:t>
      </w:r>
      <w:r>
        <w:t xml:space="preserve"> </w:t>
      </w:r>
      <w:r w:rsidRPr="007A703B">
        <w:rPr>
          <w:b/>
        </w:rPr>
        <w:t>aggregate</w:t>
      </w:r>
      <w:r w:rsidRPr="00D80A50">
        <w:t xml:space="preserve"> </w:t>
      </w:r>
      <w:r>
        <w:t xml:space="preserve">information to monitor implementation against the indicators identified in the </w:t>
      </w:r>
      <w:r w:rsidR="00E93D1D">
        <w:t xml:space="preserve">Action’s </w:t>
      </w:r>
      <w:proofErr w:type="spellStart"/>
      <w:r>
        <w:t>Logframe</w:t>
      </w:r>
      <w:proofErr w:type="spellEnd"/>
      <w:r w:rsidR="00E93D1D">
        <w:t>,</w:t>
      </w:r>
      <w:r>
        <w:t xml:space="preserve"> and </w:t>
      </w:r>
      <w:r w:rsidRPr="007A703B">
        <w:rPr>
          <w:b/>
        </w:rPr>
        <w:t>to report</w:t>
      </w:r>
      <w:r>
        <w:t xml:space="preserve"> on progress. </w:t>
      </w:r>
      <w:r w:rsidR="00E93D1D">
        <w:t>G</w:t>
      </w:r>
      <w:r>
        <w:t xml:space="preserve">rant beneficiaries </w:t>
      </w:r>
      <w:r w:rsidR="00E93D1D">
        <w:t>led</w:t>
      </w:r>
      <w:r>
        <w:t xml:space="preserve"> by the Coordinator (the Lead Applicant) are expected to develop and submit their M&amp;E Plan</w:t>
      </w:r>
      <w:r w:rsidR="00E93D1D">
        <w:t>s</w:t>
      </w:r>
      <w:r>
        <w:t xml:space="preserve"> </w:t>
      </w:r>
      <w:r w:rsidRPr="00E93D1D">
        <w:rPr>
          <w:u w:val="single"/>
        </w:rPr>
        <w:t>within three months</w:t>
      </w:r>
      <w:r>
        <w:t xml:space="preserve"> of the signing of the contract. </w:t>
      </w:r>
      <w:r w:rsidR="004A2D15">
        <w:t xml:space="preserve">Below is a description of the steps </w:t>
      </w:r>
      <w:r w:rsidR="00E60F2E">
        <w:t xml:space="preserve">involved </w:t>
      </w:r>
      <w:r w:rsidR="004A2D15">
        <w:t xml:space="preserve">and </w:t>
      </w:r>
      <w:r w:rsidR="00E93D1D">
        <w:t xml:space="preserve">the </w:t>
      </w:r>
      <w:r w:rsidR="004A2D15">
        <w:t>contents of the M&amp;E Plan</w:t>
      </w:r>
      <w:r w:rsidR="004A2D15" w:rsidRPr="00E93D1D">
        <w:t xml:space="preserve">. </w:t>
      </w:r>
      <w:r w:rsidR="00E93D1D">
        <w:t>(</w:t>
      </w:r>
      <w:r w:rsidR="004A2D15" w:rsidRPr="00E93D1D">
        <w:t xml:space="preserve">A </w:t>
      </w:r>
      <w:r w:rsidR="00E10A9A">
        <w:t xml:space="preserve">guiding non-mandatory </w:t>
      </w:r>
      <w:r w:rsidR="004A2D15" w:rsidRPr="00E93D1D">
        <w:t>template for the M&amp;E Plan</w:t>
      </w:r>
      <w:r w:rsidR="00E93D1D" w:rsidRPr="00E93D1D">
        <w:t xml:space="preserve"> is attached)</w:t>
      </w:r>
      <w:r w:rsidR="004A2D15" w:rsidRPr="00E93D1D">
        <w:t>.</w:t>
      </w:r>
    </w:p>
    <w:p w14:paraId="04E0E441" w14:textId="77777777" w:rsidR="00CD344C" w:rsidRDefault="00CD344C" w:rsidP="00123C72">
      <w:pPr>
        <w:pStyle w:val="Heading2"/>
      </w:pPr>
      <w:r>
        <w:t>Steps in Developing the M&amp;E Plan</w:t>
      </w:r>
    </w:p>
    <w:p w14:paraId="3D8E6FED" w14:textId="593E9959" w:rsidR="00AC02FE" w:rsidRDefault="00AC02FE" w:rsidP="00E60F2E">
      <w:pPr>
        <w:pStyle w:val="ListParagraph"/>
        <w:numPr>
          <w:ilvl w:val="0"/>
          <w:numId w:val="8"/>
        </w:numPr>
      </w:pPr>
      <w:r>
        <w:rPr>
          <w:b/>
        </w:rPr>
        <w:t xml:space="preserve">Draft LFM: </w:t>
      </w:r>
      <w:r>
        <w:t xml:space="preserve">The grant beneficiaries through their Coordinator have already developed a </w:t>
      </w:r>
      <w:proofErr w:type="spellStart"/>
      <w:r>
        <w:t>Logframe</w:t>
      </w:r>
      <w:proofErr w:type="spellEnd"/>
      <w:r>
        <w:t xml:space="preserve"> as part of the Grant Contract. However, there are many indicators, mainly impact and outcome indicators, with baseline and target values yet to be determined. It </w:t>
      </w:r>
      <w:r w:rsidR="00E93D1D">
        <w:t xml:space="preserve">is </w:t>
      </w:r>
      <w:r>
        <w:t xml:space="preserve">indicated in the </w:t>
      </w:r>
      <w:proofErr w:type="spellStart"/>
      <w:r>
        <w:t>LogFrames</w:t>
      </w:r>
      <w:proofErr w:type="spellEnd"/>
      <w:r>
        <w:t xml:space="preserve"> that these values will be determined from </w:t>
      </w:r>
      <w:r w:rsidR="00E93D1D">
        <w:t>p</w:t>
      </w:r>
      <w:r w:rsidR="00073A61">
        <w:t>l</w:t>
      </w:r>
      <w:r w:rsidR="00E93D1D">
        <w:t xml:space="preserve">anned </w:t>
      </w:r>
      <w:r>
        <w:t>baseline survey</w:t>
      </w:r>
      <w:r w:rsidR="00E93D1D">
        <w:t>s</w:t>
      </w:r>
      <w:r>
        <w:t xml:space="preserve">.  </w:t>
      </w:r>
    </w:p>
    <w:p w14:paraId="0D87BC8A" w14:textId="77777777" w:rsidR="00E93D1D" w:rsidRPr="00110554" w:rsidRDefault="00E93D1D" w:rsidP="00E93D1D">
      <w:pPr>
        <w:pStyle w:val="ListParagraph"/>
        <w:numPr>
          <w:ilvl w:val="0"/>
          <w:numId w:val="0"/>
        </w:numPr>
        <w:ind w:left="720"/>
        <w:rPr>
          <w:sz w:val="18"/>
          <w:szCs w:val="18"/>
        </w:rPr>
      </w:pPr>
    </w:p>
    <w:p w14:paraId="1C68BDAD" w14:textId="1D3C23FF" w:rsidR="00C767E0" w:rsidRDefault="00CD344C" w:rsidP="00E60F2E">
      <w:pPr>
        <w:pStyle w:val="ListParagraph"/>
        <w:numPr>
          <w:ilvl w:val="0"/>
          <w:numId w:val="8"/>
        </w:numPr>
      </w:pPr>
      <w:r>
        <w:rPr>
          <w:b/>
        </w:rPr>
        <w:t xml:space="preserve">Conduct Baseline Survey: </w:t>
      </w:r>
      <w:r w:rsidR="00C767E0">
        <w:t>T</w:t>
      </w:r>
      <w:r w:rsidR="00AC02FE">
        <w:t>he grant beneficiaries are expected to conduct baseline survey</w:t>
      </w:r>
      <w:r w:rsidR="00E93D1D">
        <w:t>s</w:t>
      </w:r>
      <w:r w:rsidR="00AC02FE">
        <w:t xml:space="preserve"> either</w:t>
      </w:r>
      <w:r w:rsidR="00E93D1D">
        <w:t xml:space="preserve"> through</w:t>
      </w:r>
      <w:r w:rsidR="00AC02FE">
        <w:t xml:space="preserve"> their own </w:t>
      </w:r>
      <w:r w:rsidR="00E93D1D">
        <w:t>staff</w:t>
      </w:r>
      <w:r w:rsidR="00AC02FE">
        <w:t xml:space="preserve"> or </w:t>
      </w:r>
      <w:r w:rsidR="00E93D1D">
        <w:t xml:space="preserve">by </w:t>
      </w:r>
      <w:r w:rsidR="00AC02FE">
        <w:t>recruiting an individual consultant</w:t>
      </w:r>
      <w:r w:rsidR="00E93D1D">
        <w:t xml:space="preserve">. </w:t>
      </w:r>
      <w:r w:rsidR="00152859">
        <w:t>You</w:t>
      </w:r>
      <w:r w:rsidR="00E93D1D">
        <w:t xml:space="preserve"> should follow what was planned </w:t>
      </w:r>
      <w:r w:rsidR="00152859">
        <w:t>in your Description of Action (attached as Annex I to your contract), especially the M&amp;E arrangements to be put</w:t>
      </w:r>
      <w:r w:rsidR="00AC02FE">
        <w:t xml:space="preserve"> </w:t>
      </w:r>
      <w:r w:rsidR="00152859">
        <w:t xml:space="preserve">in place detailed under section 2.2.1. </w:t>
      </w:r>
      <w:r w:rsidR="00AC02FE">
        <w:t>(</w:t>
      </w:r>
      <w:r w:rsidR="00152859">
        <w:t xml:space="preserve">Please also refer to the relevant budget provisions set out in Annex II of your contract). </w:t>
      </w:r>
      <w:r w:rsidR="00AC02FE">
        <w:t>The report of this survey should determine the baseline value</w:t>
      </w:r>
      <w:r w:rsidR="00152859">
        <w:t xml:space="preserve">s, </w:t>
      </w:r>
      <w:r w:rsidR="00AC02FE">
        <w:t xml:space="preserve">mainly </w:t>
      </w:r>
      <w:r w:rsidR="00152859">
        <w:t>for</w:t>
      </w:r>
      <w:r w:rsidR="00AC02FE">
        <w:t xml:space="preserve"> impact and outcome indicators </w:t>
      </w:r>
      <w:r w:rsidR="00152859">
        <w:t xml:space="preserve">described </w:t>
      </w:r>
      <w:r w:rsidR="00AC02FE">
        <w:t xml:space="preserve">in the current LFM as “to be determined during the baseline survey”. </w:t>
      </w:r>
    </w:p>
    <w:p w14:paraId="04AFC3D9" w14:textId="77777777" w:rsidR="00E93D1D" w:rsidRPr="00110554" w:rsidRDefault="00E93D1D" w:rsidP="00E93D1D">
      <w:pPr>
        <w:pStyle w:val="ListParagraph"/>
        <w:numPr>
          <w:ilvl w:val="0"/>
          <w:numId w:val="0"/>
        </w:numPr>
        <w:ind w:left="720"/>
        <w:rPr>
          <w:sz w:val="18"/>
          <w:szCs w:val="18"/>
        </w:rPr>
      </w:pPr>
    </w:p>
    <w:p w14:paraId="794162DF" w14:textId="01635695" w:rsidR="00AC02FE" w:rsidRDefault="00AC02FE" w:rsidP="00E60F2E">
      <w:pPr>
        <w:pStyle w:val="ListParagraph"/>
        <w:numPr>
          <w:ilvl w:val="0"/>
          <w:numId w:val="8"/>
        </w:numPr>
      </w:pPr>
      <w:r>
        <w:rPr>
          <w:b/>
        </w:rPr>
        <w:t>Determine the Target Values:</w:t>
      </w:r>
      <w:r>
        <w:t xml:space="preserve"> In principle, if the baseline values are not available at the contract signing, </w:t>
      </w:r>
      <w:r w:rsidR="006E7281">
        <w:t>there should be no target value</w:t>
      </w:r>
      <w:r w:rsidR="00152859">
        <w:t>s mentioned</w:t>
      </w:r>
      <w:r w:rsidR="006E7281">
        <w:t>. Once the baseline values are determined from the baseline survey, the grant beneficiaries should determine the target value</w:t>
      </w:r>
      <w:r w:rsidR="00152859">
        <w:t>s</w:t>
      </w:r>
      <w:r w:rsidR="006E7281">
        <w:t xml:space="preserve"> on the bas</w:t>
      </w:r>
      <w:r w:rsidR="00152859">
        <w:t>i</w:t>
      </w:r>
      <w:r w:rsidR="006E7281">
        <w:t>s of the baseline situation.</w:t>
      </w:r>
    </w:p>
    <w:p w14:paraId="1D68AB69" w14:textId="77777777" w:rsidR="00E93D1D" w:rsidRPr="00110554" w:rsidRDefault="00E93D1D" w:rsidP="00E93D1D">
      <w:pPr>
        <w:pStyle w:val="ListParagraph"/>
        <w:numPr>
          <w:ilvl w:val="0"/>
          <w:numId w:val="0"/>
        </w:numPr>
        <w:ind w:left="720"/>
        <w:rPr>
          <w:sz w:val="18"/>
          <w:szCs w:val="18"/>
        </w:rPr>
      </w:pPr>
    </w:p>
    <w:p w14:paraId="5C7AFAB9" w14:textId="516FBBAB" w:rsidR="006E7281" w:rsidRDefault="006E7281" w:rsidP="00E60F2E">
      <w:pPr>
        <w:pStyle w:val="ListParagraph"/>
        <w:numPr>
          <w:ilvl w:val="0"/>
          <w:numId w:val="8"/>
        </w:numPr>
      </w:pPr>
      <w:r>
        <w:rPr>
          <w:b/>
        </w:rPr>
        <w:t xml:space="preserve">Finalize the LFM: </w:t>
      </w:r>
      <w:r>
        <w:t>Once both the baseline and target values are determined for the high-level indicators, source</w:t>
      </w:r>
      <w:r w:rsidR="00152859">
        <w:t>s</w:t>
      </w:r>
      <w:r>
        <w:t xml:space="preserve"> of verification </w:t>
      </w:r>
      <w:r w:rsidR="00152859">
        <w:t>(</w:t>
      </w:r>
      <w:r>
        <w:t>and assumptions</w:t>
      </w:r>
      <w:r w:rsidR="00152859">
        <w:t xml:space="preserve"> if necessary)</w:t>
      </w:r>
      <w:r>
        <w:t xml:space="preserve"> </w:t>
      </w:r>
      <w:r w:rsidR="00152859">
        <w:t>should be completed. T</w:t>
      </w:r>
      <w:r>
        <w:t xml:space="preserve">he LFM </w:t>
      </w:r>
      <w:r w:rsidR="00152859">
        <w:t xml:space="preserve">may now </w:t>
      </w:r>
      <w:r>
        <w:t>be considered as complete</w:t>
      </w:r>
      <w:r w:rsidR="00152859">
        <w:t xml:space="preserve">. However, it is a live document and should be kept under review and amended accordingly. Any changes should be communicated to the EUD </w:t>
      </w:r>
      <w:r w:rsidR="00AE2EFB">
        <w:t>and TAU.</w:t>
      </w:r>
    </w:p>
    <w:p w14:paraId="467F7699" w14:textId="77777777" w:rsidR="005F5067" w:rsidRPr="00110554" w:rsidRDefault="005F5067" w:rsidP="005F5067">
      <w:pPr>
        <w:pStyle w:val="ListParagraph"/>
        <w:numPr>
          <w:ilvl w:val="0"/>
          <w:numId w:val="0"/>
        </w:numPr>
        <w:ind w:left="720"/>
        <w:rPr>
          <w:sz w:val="18"/>
          <w:szCs w:val="18"/>
        </w:rPr>
      </w:pPr>
    </w:p>
    <w:p w14:paraId="74F172D4" w14:textId="3F42EFF1" w:rsidR="00183AD9" w:rsidRDefault="006E7281" w:rsidP="00E60F2E">
      <w:pPr>
        <w:pStyle w:val="ListParagraph"/>
        <w:numPr>
          <w:ilvl w:val="0"/>
          <w:numId w:val="8"/>
        </w:numPr>
      </w:pPr>
      <w:r>
        <w:rPr>
          <w:b/>
        </w:rPr>
        <w:t>Prepare the M&amp;E Plan:</w:t>
      </w:r>
      <w:r>
        <w:t xml:space="preserve"> Most of the information to be included in the M&amp;E Plan come</w:t>
      </w:r>
      <w:r w:rsidR="00183AD9">
        <w:t>s</w:t>
      </w:r>
      <w:r>
        <w:t xml:space="preserve"> </w:t>
      </w:r>
      <w:r w:rsidR="005667DA">
        <w:t xml:space="preserve">from the LFM. Additional </w:t>
      </w:r>
      <w:r w:rsidR="00183AD9">
        <w:t xml:space="preserve">parameters </w:t>
      </w:r>
      <w:r w:rsidR="005667DA">
        <w:t xml:space="preserve">in the M&amp;E Plan </w:t>
      </w:r>
      <w:r w:rsidR="00183AD9">
        <w:t xml:space="preserve">are </w:t>
      </w:r>
      <w:r w:rsidR="00AE2EFB">
        <w:t xml:space="preserve">(a) </w:t>
      </w:r>
      <w:r w:rsidR="00183AD9">
        <w:t>data description</w:t>
      </w:r>
      <w:r w:rsidR="00AE2EFB">
        <w:t>,</w:t>
      </w:r>
      <w:r w:rsidR="00183AD9">
        <w:t xml:space="preserve"> and </w:t>
      </w:r>
      <w:r w:rsidR="00AE2EFB">
        <w:t xml:space="preserve">(b) </w:t>
      </w:r>
      <w:r w:rsidR="00183AD9">
        <w:t>frequency of data collection</w:t>
      </w:r>
      <w:r w:rsidR="00AE2EFB">
        <w:t xml:space="preserve"> (as</w:t>
      </w:r>
      <w:r w:rsidR="00183AD9">
        <w:t xml:space="preserve"> discussed below</w:t>
      </w:r>
      <w:r w:rsidR="00AE2EFB">
        <w:t>)</w:t>
      </w:r>
      <w:r w:rsidR="00183AD9">
        <w:t>.</w:t>
      </w:r>
    </w:p>
    <w:p w14:paraId="745740F0" w14:textId="77777777" w:rsidR="005F5067" w:rsidRDefault="005F5067" w:rsidP="00123C72">
      <w:pPr>
        <w:pStyle w:val="Heading2"/>
        <w:sectPr w:rsidR="005F5067" w:rsidSect="00AB4A68">
          <w:headerReference w:type="default" r:id="rId8"/>
          <w:footerReference w:type="default" r:id="rId9"/>
          <w:pgSz w:w="12240" w:h="15840"/>
          <w:pgMar w:top="990" w:right="1440" w:bottom="810" w:left="1440" w:header="720" w:footer="185" w:gutter="0"/>
          <w:cols w:space="720"/>
          <w:docGrid w:linePitch="360"/>
        </w:sectPr>
      </w:pPr>
    </w:p>
    <w:p w14:paraId="6DCF373C" w14:textId="58B6B554" w:rsidR="00183AD9" w:rsidRDefault="00183AD9" w:rsidP="00123C72">
      <w:pPr>
        <w:pStyle w:val="Heading2"/>
      </w:pPr>
      <w:r>
        <w:lastRenderedPageBreak/>
        <w:t xml:space="preserve">Elements </w:t>
      </w:r>
      <w:r w:rsidR="00AE2EFB">
        <w:t>of</w:t>
      </w:r>
      <w:r>
        <w:t xml:space="preserve"> the M&amp;E Plan</w:t>
      </w:r>
    </w:p>
    <w:p w14:paraId="4186DB54" w14:textId="441C329B" w:rsidR="00C767E0" w:rsidRDefault="00C767E0" w:rsidP="00C767E0">
      <w:pPr>
        <w:numPr>
          <w:ilvl w:val="0"/>
          <w:numId w:val="6"/>
        </w:numPr>
        <w:spacing w:after="0" w:line="288" w:lineRule="auto"/>
        <w:contextualSpacing/>
      </w:pPr>
      <w:r w:rsidRPr="008952D6">
        <w:rPr>
          <w:b/>
        </w:rPr>
        <w:t>Data Description</w:t>
      </w:r>
      <w:r>
        <w:t xml:space="preserve">: </w:t>
      </w:r>
      <w:r w:rsidRPr="00DE6FBF">
        <w:t xml:space="preserve">While ‘what’ indicators will be used to monitor each level of the hierarchy in the LFM, further description on what the indicators entail </w:t>
      </w:r>
      <w:r w:rsidR="00183AD9">
        <w:t>should be provided</w:t>
      </w:r>
      <w:r w:rsidRPr="00DE6FBF">
        <w:t xml:space="preserve"> so that different staff members coming in at any time will have the same understanding on what data needs to be collected, with no room for </w:t>
      </w:r>
      <w:r w:rsidR="00E94B63">
        <w:t xml:space="preserve">individual </w:t>
      </w:r>
      <w:r w:rsidRPr="00DE6FBF">
        <w:t xml:space="preserve">interpretations. What we mean by each indicator and exactly what data needs to be collected </w:t>
      </w:r>
      <w:r w:rsidR="00E94B63">
        <w:t xml:space="preserve">should be </w:t>
      </w:r>
      <w:r w:rsidRPr="00DE6FBF">
        <w:t>clearly described</w:t>
      </w:r>
      <w:r w:rsidR="00183AD9">
        <w:t xml:space="preserve"> in this column</w:t>
      </w:r>
      <w:r w:rsidRPr="00DE6FBF">
        <w:t>.</w:t>
      </w:r>
    </w:p>
    <w:p w14:paraId="6D98F9F5" w14:textId="3C2E331D" w:rsidR="00C767E0" w:rsidRDefault="00C767E0" w:rsidP="00C767E0">
      <w:pPr>
        <w:numPr>
          <w:ilvl w:val="0"/>
          <w:numId w:val="6"/>
        </w:numPr>
        <w:spacing w:after="0" w:line="288" w:lineRule="auto"/>
        <w:contextualSpacing/>
      </w:pPr>
      <w:r w:rsidRPr="008952D6">
        <w:rPr>
          <w:b/>
        </w:rPr>
        <w:t>Source of Verification</w:t>
      </w:r>
      <w:r>
        <w:t xml:space="preserve">: </w:t>
      </w:r>
      <w:r w:rsidR="00183AD9">
        <w:t xml:space="preserve">As a rule, only one source of verification should be given for </w:t>
      </w:r>
      <w:r w:rsidR="00E94B63">
        <w:t xml:space="preserve">each </w:t>
      </w:r>
      <w:r w:rsidR="00183AD9">
        <w:t>indicator</w:t>
      </w:r>
      <w:r w:rsidR="004A2D15">
        <w:t xml:space="preserve"> </w:t>
      </w:r>
      <w:r w:rsidR="00E94B63">
        <w:t>– otherwise multiple</w:t>
      </w:r>
      <w:r w:rsidR="004A2D15">
        <w:t xml:space="preserve"> sources </w:t>
      </w:r>
      <w:r w:rsidR="00E94B63">
        <w:t xml:space="preserve">may </w:t>
      </w:r>
      <w:r w:rsidR="004A2D15">
        <w:t>result in different values</w:t>
      </w:r>
      <w:r w:rsidRPr="00AE76CF">
        <w:t xml:space="preserve">. Therefore, in an effort to ensure uniformity and consistency of the data to be collected at different stages by different staff, </w:t>
      </w:r>
      <w:r w:rsidR="004A2D15">
        <w:t xml:space="preserve">a single, consistent, reliable and accessible </w:t>
      </w:r>
      <w:r w:rsidRPr="00AE76CF">
        <w:t>source</w:t>
      </w:r>
      <w:r w:rsidR="004A2D15">
        <w:t xml:space="preserve"> should be selected</w:t>
      </w:r>
      <w:r w:rsidRPr="00AE76CF">
        <w:t>.</w:t>
      </w:r>
    </w:p>
    <w:p w14:paraId="20BA210B" w14:textId="5A267BAD" w:rsidR="00C767E0" w:rsidRDefault="00C767E0" w:rsidP="00C767E0">
      <w:pPr>
        <w:numPr>
          <w:ilvl w:val="0"/>
          <w:numId w:val="6"/>
        </w:numPr>
        <w:spacing w:after="0" w:line="288" w:lineRule="auto"/>
        <w:contextualSpacing/>
      </w:pPr>
      <w:r w:rsidRPr="008952D6">
        <w:rPr>
          <w:b/>
        </w:rPr>
        <w:t>Frequency of Data Collection:</w:t>
      </w:r>
      <w:r>
        <w:t xml:space="preserve"> </w:t>
      </w:r>
      <w:r w:rsidRPr="00AE76CF">
        <w:t xml:space="preserve">One of the principles applied in monitoring is </w:t>
      </w:r>
      <w:r w:rsidR="00E94B63">
        <w:t xml:space="preserve">the </w:t>
      </w:r>
      <w:r w:rsidRPr="00AE76CF">
        <w:t xml:space="preserve">cost and time-efficiency of data collection. Data should be collected only when it is needed and feasible. For example, collecting data for the overall objective indicators more </w:t>
      </w:r>
      <w:r>
        <w:t xml:space="preserve">frequently </w:t>
      </w:r>
      <w:r w:rsidRPr="00AE76CF">
        <w:t>than annually will not be feasible or cost-effective</w:t>
      </w:r>
      <w:r>
        <w:t>,</w:t>
      </w:r>
      <w:r w:rsidRPr="00AE76CF">
        <w:t xml:space="preserve"> as significant changes may not materialize over such a relatively short period. Collecting data at the lower levels of the hierarchy on results/outputs will be easier and more feasible to collect more frequently, such as quarterly or six-monthly. The </w:t>
      </w:r>
      <w:r w:rsidR="004A2D15">
        <w:t>M&amp;E Plan</w:t>
      </w:r>
      <w:r w:rsidRPr="00AE76CF">
        <w:t xml:space="preserve"> </w:t>
      </w:r>
      <w:r w:rsidR="00E94B63">
        <w:t xml:space="preserve">should </w:t>
      </w:r>
      <w:r w:rsidRPr="00AE76CF">
        <w:t>indicate the frequency of collection for each indicator to ensure cost and time efficiency.</w:t>
      </w:r>
    </w:p>
    <w:p w14:paraId="1F927259" w14:textId="6AF4FF15" w:rsidR="00C767E0" w:rsidRDefault="00C767E0" w:rsidP="00C767E0">
      <w:pPr>
        <w:numPr>
          <w:ilvl w:val="0"/>
          <w:numId w:val="6"/>
        </w:numPr>
        <w:spacing w:after="0" w:line="288" w:lineRule="auto"/>
        <w:contextualSpacing/>
      </w:pPr>
      <w:r w:rsidRPr="008952D6">
        <w:rPr>
          <w:b/>
        </w:rPr>
        <w:t>Baseline:</w:t>
      </w:r>
      <w:r>
        <w:t xml:space="preserve"> </w:t>
      </w:r>
      <w:r w:rsidRPr="00DE6FBF">
        <w:t xml:space="preserve">Monitoring the progress of an indicator through time can only be done if there is a baseline to compare </w:t>
      </w:r>
      <w:r w:rsidR="00E94B63">
        <w:t xml:space="preserve">with in order </w:t>
      </w:r>
      <w:r w:rsidRPr="00DE6FBF">
        <w:t xml:space="preserve">to determine the level of progress. Normally the baseline figures are </w:t>
      </w:r>
      <w:r>
        <w:t>collected</w:t>
      </w:r>
      <w:r w:rsidRPr="00DE6FBF">
        <w:t xml:space="preserve"> before or at the start of a programme. Depending on </w:t>
      </w:r>
      <w:r>
        <w:t xml:space="preserve">the </w:t>
      </w:r>
      <w:r w:rsidRPr="00DE6FBF">
        <w:t xml:space="preserve">availability of baseline data aligned to a specific indicator, the year </w:t>
      </w:r>
      <w:r>
        <w:t xml:space="preserve">of reference </w:t>
      </w:r>
      <w:r w:rsidRPr="00DE6FBF">
        <w:t>can be different.</w:t>
      </w:r>
      <w:r>
        <w:t xml:space="preserve"> </w:t>
      </w:r>
    </w:p>
    <w:p w14:paraId="50398185" w14:textId="20B660A4" w:rsidR="00C767E0" w:rsidRDefault="00C767E0" w:rsidP="00C767E0">
      <w:pPr>
        <w:numPr>
          <w:ilvl w:val="0"/>
          <w:numId w:val="6"/>
        </w:numPr>
        <w:spacing w:after="0" w:line="288" w:lineRule="auto"/>
        <w:contextualSpacing/>
      </w:pPr>
      <w:r w:rsidRPr="008952D6">
        <w:rPr>
          <w:b/>
        </w:rPr>
        <w:t>Targets:</w:t>
      </w:r>
      <w:r>
        <w:t xml:space="preserve"> </w:t>
      </w:r>
      <w:r w:rsidRPr="00DE6FBF">
        <w:t xml:space="preserve">Targets are the desired cumulative level </w:t>
      </w:r>
      <w:r w:rsidR="00E94B63">
        <w:t xml:space="preserve">of achievement </w:t>
      </w:r>
      <w:r w:rsidRPr="00DE6FBF">
        <w:t xml:space="preserve">the programme is expected to reach by the end of the implementation period in return for the investment made. </w:t>
      </w:r>
      <w:r w:rsidR="00E94B63">
        <w:t xml:space="preserve">They </w:t>
      </w:r>
      <w:r w:rsidRPr="00DE6FBF">
        <w:t xml:space="preserve">should not be </w:t>
      </w:r>
      <w:r w:rsidR="00E94B63">
        <w:t xml:space="preserve">so </w:t>
      </w:r>
      <w:r w:rsidR="004A2D15">
        <w:t>low</w:t>
      </w:r>
      <w:r w:rsidR="00E94B63">
        <w:t xml:space="preserve"> that they represent an </w:t>
      </w:r>
      <w:r w:rsidR="004A2D15">
        <w:t xml:space="preserve">injustice to the </w:t>
      </w:r>
      <w:r w:rsidRPr="00DE6FBF">
        <w:t xml:space="preserve">investment, nor too high to be overly ambitious and </w:t>
      </w:r>
      <w:r w:rsidR="00E94B63">
        <w:t xml:space="preserve">unrealistic, thereby </w:t>
      </w:r>
      <w:r w:rsidRPr="00DE6FBF">
        <w:t>undermin</w:t>
      </w:r>
      <w:r w:rsidR="00E94B63">
        <w:t>ing</w:t>
      </w:r>
      <w:r w:rsidRPr="00DE6FBF">
        <w:t xml:space="preserve"> </w:t>
      </w:r>
      <w:r w:rsidR="00E94B63">
        <w:t xml:space="preserve">any </w:t>
      </w:r>
      <w:r w:rsidRPr="00DE6FBF">
        <w:t xml:space="preserve">achievements made by the </w:t>
      </w:r>
      <w:r w:rsidR="00E94B63">
        <w:t>intervention</w:t>
      </w:r>
      <w:r w:rsidRPr="00DE6FBF">
        <w:t xml:space="preserve">. While reserving the possibility to revise the targets during the mid-term review of the programme, the targets indicated in the </w:t>
      </w:r>
      <w:r w:rsidR="004A2D15">
        <w:t>M&amp;E Plan</w:t>
      </w:r>
      <w:r w:rsidRPr="00DE6FBF">
        <w:t xml:space="preserve"> are shown annually along with the final cumulative figures.</w:t>
      </w:r>
    </w:p>
    <w:p w14:paraId="492AA634" w14:textId="3786346B" w:rsidR="00C767E0" w:rsidRPr="00BC152E" w:rsidRDefault="00C767E0" w:rsidP="00C767E0">
      <w:pPr>
        <w:numPr>
          <w:ilvl w:val="0"/>
          <w:numId w:val="6"/>
        </w:numPr>
        <w:spacing w:after="0" w:line="288" w:lineRule="auto"/>
        <w:contextualSpacing/>
      </w:pPr>
      <w:r>
        <w:rPr>
          <w:b/>
        </w:rPr>
        <w:t>Assumptions</w:t>
      </w:r>
      <w:r w:rsidRPr="000D0333">
        <w:t>:</w:t>
      </w:r>
      <w:r>
        <w:t xml:space="preserve"> Assumptions are necessary external conditions beyond the full control of </w:t>
      </w:r>
      <w:r w:rsidR="00E94B63">
        <w:t xml:space="preserve">a </w:t>
      </w:r>
      <w:r>
        <w:t>pro</w:t>
      </w:r>
      <w:r w:rsidR="00E94B63">
        <w:t xml:space="preserve">ject’s management </w:t>
      </w:r>
      <w:r>
        <w:t>that must prevail in order for the pro</w:t>
      </w:r>
      <w:r w:rsidR="00E94B63">
        <w:t xml:space="preserve">ject </w:t>
      </w:r>
      <w:r>
        <w:t xml:space="preserve">to achieve its objectives at </w:t>
      </w:r>
      <w:r w:rsidR="00E94B63">
        <w:t xml:space="preserve">each </w:t>
      </w:r>
      <w:r>
        <w:t xml:space="preserve">level of the hierarchy. They </w:t>
      </w:r>
      <w:r w:rsidR="00E94B63">
        <w:t xml:space="preserve">are derived </w:t>
      </w:r>
      <w:r>
        <w:t>from the programme’s revised LFM.</w:t>
      </w:r>
    </w:p>
    <w:p w14:paraId="63E619A3" w14:textId="77777777" w:rsidR="00C767E0" w:rsidRDefault="00C767E0" w:rsidP="00A34CD7">
      <w:pPr>
        <w:pStyle w:val="Title"/>
      </w:pPr>
    </w:p>
    <w:p w14:paraId="7B7B2621" w14:textId="799B473B" w:rsidR="00123C72" w:rsidRDefault="00BA7EE9" w:rsidP="00BA7EE9">
      <w:pPr>
        <w:pStyle w:val="Heading2"/>
      </w:pPr>
      <w:r>
        <w:t>Other points to Note re M&amp;E</w:t>
      </w:r>
    </w:p>
    <w:p w14:paraId="3E72B0C1" w14:textId="5508A2DC" w:rsidR="00123C72" w:rsidRPr="00123C72" w:rsidRDefault="00123C72" w:rsidP="00123C72">
      <w:pPr>
        <w:spacing w:after="0" w:line="288" w:lineRule="auto"/>
        <w:rPr>
          <w:b/>
          <w:bCs/>
        </w:rPr>
      </w:pPr>
      <w:r w:rsidRPr="00123C72">
        <w:rPr>
          <w:b/>
          <w:bCs/>
        </w:rPr>
        <w:t>General Conditions: Article 8 – Monitoring &amp; Evaluation of the Action</w:t>
      </w:r>
    </w:p>
    <w:p w14:paraId="50F3C430" w14:textId="67C4C32E" w:rsidR="00123C72" w:rsidRDefault="00123C72" w:rsidP="00123C72">
      <w:pPr>
        <w:pStyle w:val="ListParagraph"/>
        <w:numPr>
          <w:ilvl w:val="0"/>
          <w:numId w:val="9"/>
        </w:numPr>
      </w:pPr>
      <w:r>
        <w:t>Grantee must provide documents and information necessary for EU (or its agents) to undertake any evaluation or monitoring exercise</w:t>
      </w:r>
      <w:r w:rsidR="00BA7EE9">
        <w:t xml:space="preserve"> </w:t>
      </w:r>
    </w:p>
    <w:p w14:paraId="32BA4ABE" w14:textId="7E10E9F0" w:rsidR="00123C72" w:rsidRDefault="00123C72" w:rsidP="00123C72">
      <w:pPr>
        <w:pStyle w:val="ListParagraph"/>
        <w:numPr>
          <w:ilvl w:val="0"/>
          <w:numId w:val="9"/>
        </w:numPr>
      </w:pPr>
      <w:r>
        <w:t xml:space="preserve">Representatives of EU </w:t>
      </w:r>
      <w:r w:rsidR="00BA7EE9">
        <w:t xml:space="preserve">(including TAU) should </w:t>
      </w:r>
      <w:r>
        <w:t xml:space="preserve">be </w:t>
      </w:r>
      <w:r w:rsidR="00BA7EE9">
        <w:t xml:space="preserve">invited to participate in main M&amp;E exercises performed by the grantee; to comment on </w:t>
      </w:r>
      <w:proofErr w:type="spellStart"/>
      <w:r w:rsidR="00BA7EE9">
        <w:t>ToR</w:t>
      </w:r>
      <w:proofErr w:type="spellEnd"/>
      <w:r w:rsidR="00BA7EE9">
        <w:t xml:space="preserve"> prepared for any planned evaluation before launching &amp; </w:t>
      </w:r>
      <w:r w:rsidR="0031203C">
        <w:t xml:space="preserve">to </w:t>
      </w:r>
      <w:r w:rsidR="00BA7EE9">
        <w:t>comment on draft reports before they are finalised.</w:t>
      </w:r>
    </w:p>
    <w:p w14:paraId="302680E8" w14:textId="563D9C0D" w:rsidR="0031203C" w:rsidRDefault="0031203C" w:rsidP="00123C72">
      <w:pPr>
        <w:pStyle w:val="ListParagraph"/>
        <w:numPr>
          <w:ilvl w:val="0"/>
          <w:numId w:val="9"/>
        </w:numPr>
      </w:pPr>
      <w:r>
        <w:lastRenderedPageBreak/>
        <w:t>All M&amp;E reports, including final values for each indicator in the LFM must be submitted to EUD (&amp; TAU) with the final narrative report</w:t>
      </w:r>
    </w:p>
    <w:p w14:paraId="51F35A89" w14:textId="5F88EBC9" w:rsidR="00BA7EE9" w:rsidRDefault="00BA7EE9" w:rsidP="00BA7EE9">
      <w:pPr>
        <w:ind w:left="360"/>
      </w:pPr>
    </w:p>
    <w:p w14:paraId="22CA57DC" w14:textId="7840195F" w:rsidR="00BA7EE9" w:rsidRDefault="00BA7EE9" w:rsidP="00BA7EE9">
      <w:pPr>
        <w:rPr>
          <w:b/>
          <w:bCs/>
        </w:rPr>
      </w:pPr>
      <w:r w:rsidRPr="00BA7EE9">
        <w:rPr>
          <w:b/>
          <w:bCs/>
        </w:rPr>
        <w:t>Annex I of Contract: Description of Action</w:t>
      </w:r>
    </w:p>
    <w:p w14:paraId="4E1A3A43" w14:textId="3495EBD7" w:rsidR="00BA7EE9" w:rsidRPr="00BA7EE9" w:rsidRDefault="00BA7EE9" w:rsidP="00BA7EE9">
      <w:pPr>
        <w:pStyle w:val="ListParagraph"/>
        <w:numPr>
          <w:ilvl w:val="0"/>
          <w:numId w:val="11"/>
        </w:numPr>
      </w:pPr>
      <w:r w:rsidRPr="00BA7EE9">
        <w:t>The Grantee should follow the M&amp;E arrangements described in detail under section 2.1.2</w:t>
      </w:r>
      <w:r w:rsidR="00E10A9A">
        <w:t>.</w:t>
      </w:r>
    </w:p>
    <w:p w14:paraId="21E2043E" w14:textId="77777777" w:rsidR="00123C72" w:rsidRDefault="00123C72" w:rsidP="00BA7EE9"/>
    <w:p w14:paraId="265599FC" w14:textId="37F9216A" w:rsidR="00BA7EE9" w:rsidRPr="00BA7EE9" w:rsidRDefault="00BA7EE9" w:rsidP="00BA7EE9">
      <w:pPr>
        <w:rPr>
          <w:b/>
          <w:bCs/>
        </w:rPr>
      </w:pPr>
      <w:r w:rsidRPr="00BA7EE9">
        <w:rPr>
          <w:b/>
          <w:bCs/>
        </w:rPr>
        <w:t>Annex VI: Narrative Reports</w:t>
      </w:r>
    </w:p>
    <w:p w14:paraId="6B83AFC1" w14:textId="19DC0D00" w:rsidR="00BA7EE9" w:rsidRDefault="0031203C" w:rsidP="00BA7EE9">
      <w:pPr>
        <w:pStyle w:val="ListParagraph"/>
        <w:numPr>
          <w:ilvl w:val="0"/>
          <w:numId w:val="11"/>
        </w:numPr>
      </w:pPr>
      <w:r>
        <w:t xml:space="preserve">The template for Interim &amp; Final Narrative Reports </w:t>
      </w:r>
      <w:r w:rsidR="00E10A9A">
        <w:t xml:space="preserve">(Annex VI of the grant contract) </w:t>
      </w:r>
      <w:r>
        <w:t>requires grantees to report on the latest available values of LFM indicators at the time of reporting.</w:t>
      </w:r>
    </w:p>
    <w:p w14:paraId="6EA9B7A8" w14:textId="77777777" w:rsidR="00BA7EE9" w:rsidRDefault="00BA7EE9" w:rsidP="00BA7EE9"/>
    <w:p w14:paraId="4CF08BC0" w14:textId="3D011C5C" w:rsidR="00BA7EE9" w:rsidRPr="00123C72" w:rsidRDefault="00BA7EE9" w:rsidP="00BA7EE9">
      <w:pPr>
        <w:sectPr w:rsidR="00BA7EE9" w:rsidRPr="00123C72" w:rsidSect="00C767E0">
          <w:headerReference w:type="default" r:id="rId10"/>
          <w:pgSz w:w="12240" w:h="15840"/>
          <w:pgMar w:top="1440" w:right="1440" w:bottom="1440" w:left="1440" w:header="720" w:footer="720" w:gutter="0"/>
          <w:cols w:space="720"/>
          <w:docGrid w:linePitch="360"/>
        </w:sectPr>
      </w:pPr>
    </w:p>
    <w:p w14:paraId="432E1838" w14:textId="126CDBAC" w:rsidR="00A34CD7" w:rsidRDefault="00793A08" w:rsidP="00123C72">
      <w:pPr>
        <w:pStyle w:val="Heading2"/>
      </w:pPr>
      <w:r>
        <w:lastRenderedPageBreak/>
        <w:t xml:space="preserve"> </w:t>
      </w:r>
      <w:r w:rsidR="00A34CD7" w:rsidRPr="00281E99">
        <w:t xml:space="preserve">M&amp;E </w:t>
      </w:r>
      <w:r w:rsidR="003B090A">
        <w:t>PLAN</w:t>
      </w:r>
      <w:r w:rsidR="00A34CD7" w:rsidRPr="00281E99">
        <w:t xml:space="preserve"> </w:t>
      </w:r>
      <w:r w:rsidR="00A22D00">
        <w:t xml:space="preserve">Template </w:t>
      </w:r>
      <w:r w:rsidR="00A34CD7" w:rsidRPr="00281E99">
        <w:t xml:space="preserve">for </w:t>
      </w:r>
      <w:r w:rsidR="003B090A">
        <w:t>EU-</w:t>
      </w:r>
      <w:r w:rsidR="00A34CD7" w:rsidRPr="00281E99">
        <w:t>C</w:t>
      </w:r>
      <w:r w:rsidR="00A34CD7">
        <w:t>SF</w:t>
      </w:r>
      <w:r w:rsidR="00A34CD7" w:rsidRPr="00281E99">
        <w:t xml:space="preserve"> III</w:t>
      </w:r>
      <w:bookmarkEnd w:id="1"/>
      <w:r w:rsidR="00E60F2E">
        <w:t xml:space="preserve"> Grant Beneficiaries</w:t>
      </w:r>
      <w:r w:rsidR="00A22D00">
        <w:t xml:space="preserve"> (with Example)</w:t>
      </w:r>
      <w:r w:rsidR="00A22D00">
        <w:rPr>
          <w:rStyle w:val="FootnoteReference"/>
        </w:rPr>
        <w:footnoteReference w:id="1"/>
      </w:r>
    </w:p>
    <w:tbl>
      <w:tblPr>
        <w:tblStyle w:val="TableGrid"/>
        <w:tblW w:w="14827" w:type="dxa"/>
        <w:tblInd w:w="-702" w:type="dxa"/>
        <w:tblLayout w:type="fixed"/>
        <w:tblLook w:val="04A0" w:firstRow="1" w:lastRow="0" w:firstColumn="1" w:lastColumn="0" w:noHBand="0" w:noVBand="1"/>
      </w:tblPr>
      <w:tblGrid>
        <w:gridCol w:w="1080"/>
        <w:gridCol w:w="1573"/>
        <w:gridCol w:w="1621"/>
        <w:gridCol w:w="2235"/>
        <w:gridCol w:w="1701"/>
        <w:gridCol w:w="1350"/>
        <w:gridCol w:w="1707"/>
        <w:gridCol w:w="1794"/>
        <w:gridCol w:w="1766"/>
      </w:tblGrid>
      <w:tr w:rsidR="00EA092F" w14:paraId="23837CB1" w14:textId="77777777" w:rsidTr="00E10A9A">
        <w:trPr>
          <w:tblHeader/>
        </w:trPr>
        <w:tc>
          <w:tcPr>
            <w:tcW w:w="1080" w:type="dxa"/>
            <w:shd w:val="clear" w:color="auto" w:fill="C6D9F1" w:themeFill="text2" w:themeFillTint="33"/>
          </w:tcPr>
          <w:p w14:paraId="5A640385" w14:textId="77777777" w:rsidR="00A34CD7" w:rsidRPr="00281E99" w:rsidRDefault="00A34CD7" w:rsidP="004C1137">
            <w:pPr>
              <w:contextualSpacing/>
              <w:rPr>
                <w:rFonts w:cstheme="minorHAnsi"/>
                <w:b/>
                <w:sz w:val="20"/>
                <w:szCs w:val="20"/>
              </w:rPr>
            </w:pPr>
            <w:r w:rsidRPr="00281E99">
              <w:rPr>
                <w:rFonts w:cstheme="minorHAnsi"/>
                <w:b/>
                <w:sz w:val="20"/>
                <w:szCs w:val="20"/>
              </w:rPr>
              <w:t>Hierarchy in LFM</w:t>
            </w:r>
          </w:p>
        </w:tc>
        <w:tc>
          <w:tcPr>
            <w:tcW w:w="1573" w:type="dxa"/>
            <w:shd w:val="clear" w:color="auto" w:fill="C6D9F1" w:themeFill="text2" w:themeFillTint="33"/>
          </w:tcPr>
          <w:p w14:paraId="49E7E3BA" w14:textId="518DD92D" w:rsidR="00A34CD7" w:rsidRPr="00281E99" w:rsidRDefault="00A34CD7" w:rsidP="004C1137">
            <w:pPr>
              <w:contextualSpacing/>
              <w:rPr>
                <w:rFonts w:cstheme="minorHAnsi"/>
                <w:b/>
                <w:sz w:val="20"/>
                <w:szCs w:val="20"/>
              </w:rPr>
            </w:pPr>
            <w:r w:rsidRPr="00281E99">
              <w:rPr>
                <w:rFonts w:cstheme="minorHAnsi"/>
                <w:b/>
                <w:sz w:val="20"/>
                <w:szCs w:val="20"/>
              </w:rPr>
              <w:t>Objective/</w:t>
            </w:r>
            <w:r w:rsidR="00073A61">
              <w:rPr>
                <w:rFonts w:cstheme="minorHAnsi"/>
                <w:b/>
                <w:sz w:val="20"/>
                <w:szCs w:val="20"/>
              </w:rPr>
              <w:t xml:space="preserve"> </w:t>
            </w:r>
            <w:r w:rsidRPr="00281E99">
              <w:rPr>
                <w:rFonts w:cstheme="minorHAnsi"/>
                <w:b/>
                <w:sz w:val="20"/>
                <w:szCs w:val="20"/>
              </w:rPr>
              <w:t>Results Statement</w:t>
            </w:r>
            <w:r w:rsidR="004A2D15">
              <w:rPr>
                <w:rFonts w:cstheme="minorHAnsi"/>
                <w:b/>
                <w:sz w:val="20"/>
                <w:szCs w:val="20"/>
              </w:rPr>
              <w:t xml:space="preserve"> (as in the LFM)</w:t>
            </w:r>
          </w:p>
        </w:tc>
        <w:tc>
          <w:tcPr>
            <w:tcW w:w="1621" w:type="dxa"/>
            <w:shd w:val="clear" w:color="auto" w:fill="C6D9F1" w:themeFill="text2" w:themeFillTint="33"/>
          </w:tcPr>
          <w:p w14:paraId="60182B50" w14:textId="77777777" w:rsidR="00A34CD7" w:rsidRDefault="00A34CD7" w:rsidP="004C1137">
            <w:pPr>
              <w:contextualSpacing/>
              <w:rPr>
                <w:rFonts w:cstheme="minorHAnsi"/>
                <w:b/>
                <w:sz w:val="20"/>
                <w:szCs w:val="20"/>
              </w:rPr>
            </w:pPr>
            <w:r w:rsidRPr="00281E99">
              <w:rPr>
                <w:rFonts w:cstheme="minorHAnsi"/>
                <w:b/>
                <w:sz w:val="20"/>
                <w:szCs w:val="20"/>
              </w:rPr>
              <w:t>Indicators</w:t>
            </w:r>
          </w:p>
          <w:p w14:paraId="1A42869D" w14:textId="77777777" w:rsidR="004A2D15" w:rsidRPr="00281E99" w:rsidRDefault="004A2D15" w:rsidP="004C1137">
            <w:pPr>
              <w:contextualSpacing/>
              <w:rPr>
                <w:rFonts w:cstheme="minorHAnsi"/>
                <w:b/>
                <w:sz w:val="20"/>
                <w:szCs w:val="20"/>
              </w:rPr>
            </w:pPr>
            <w:r>
              <w:rPr>
                <w:rFonts w:cstheme="minorHAnsi"/>
                <w:b/>
                <w:sz w:val="20"/>
                <w:szCs w:val="20"/>
              </w:rPr>
              <w:t>(As in the LFM)</w:t>
            </w:r>
          </w:p>
          <w:p w14:paraId="0532F3C1" w14:textId="77777777" w:rsidR="00A34CD7" w:rsidRPr="00281E99" w:rsidRDefault="00A34CD7" w:rsidP="004C1137">
            <w:pPr>
              <w:contextualSpacing/>
              <w:rPr>
                <w:rFonts w:cstheme="minorHAnsi"/>
                <w:b/>
                <w:sz w:val="20"/>
                <w:szCs w:val="20"/>
              </w:rPr>
            </w:pPr>
          </w:p>
        </w:tc>
        <w:tc>
          <w:tcPr>
            <w:tcW w:w="2235" w:type="dxa"/>
            <w:shd w:val="clear" w:color="auto" w:fill="C6D9F1" w:themeFill="text2" w:themeFillTint="33"/>
          </w:tcPr>
          <w:p w14:paraId="0EBDE7DE" w14:textId="77777777" w:rsidR="00A34CD7" w:rsidRPr="00281E99" w:rsidRDefault="00A34CD7" w:rsidP="004C1137">
            <w:pPr>
              <w:contextualSpacing/>
              <w:rPr>
                <w:rFonts w:cstheme="minorHAnsi"/>
                <w:b/>
                <w:sz w:val="20"/>
                <w:szCs w:val="20"/>
              </w:rPr>
            </w:pPr>
            <w:r w:rsidRPr="00281E99">
              <w:rPr>
                <w:rFonts w:cstheme="minorHAnsi"/>
                <w:b/>
                <w:sz w:val="20"/>
                <w:szCs w:val="20"/>
              </w:rPr>
              <w:t xml:space="preserve">Data Description </w:t>
            </w:r>
          </w:p>
        </w:tc>
        <w:tc>
          <w:tcPr>
            <w:tcW w:w="1701" w:type="dxa"/>
            <w:shd w:val="clear" w:color="auto" w:fill="C6D9F1" w:themeFill="text2" w:themeFillTint="33"/>
          </w:tcPr>
          <w:p w14:paraId="2674DE55" w14:textId="77777777" w:rsidR="00A34CD7" w:rsidRDefault="00A34CD7" w:rsidP="004C1137">
            <w:pPr>
              <w:contextualSpacing/>
              <w:rPr>
                <w:rFonts w:cstheme="minorHAnsi"/>
                <w:b/>
                <w:sz w:val="20"/>
                <w:szCs w:val="20"/>
              </w:rPr>
            </w:pPr>
            <w:r w:rsidRPr="00281E99">
              <w:rPr>
                <w:rFonts w:cstheme="minorHAnsi"/>
                <w:b/>
                <w:sz w:val="20"/>
                <w:szCs w:val="20"/>
              </w:rPr>
              <w:t>Source of verification</w:t>
            </w:r>
          </w:p>
          <w:p w14:paraId="6C821C92" w14:textId="77777777" w:rsidR="004A2D15" w:rsidRPr="00281E99" w:rsidRDefault="004A2D15" w:rsidP="004C1137">
            <w:pPr>
              <w:contextualSpacing/>
              <w:rPr>
                <w:rFonts w:cstheme="minorHAnsi"/>
                <w:b/>
                <w:sz w:val="20"/>
                <w:szCs w:val="20"/>
              </w:rPr>
            </w:pPr>
            <w:r>
              <w:rPr>
                <w:rFonts w:cstheme="minorHAnsi"/>
                <w:b/>
                <w:sz w:val="20"/>
                <w:szCs w:val="20"/>
              </w:rPr>
              <w:t>(As in the LFM)</w:t>
            </w:r>
          </w:p>
        </w:tc>
        <w:tc>
          <w:tcPr>
            <w:tcW w:w="1350" w:type="dxa"/>
            <w:shd w:val="clear" w:color="auto" w:fill="C6D9F1" w:themeFill="text2" w:themeFillTint="33"/>
          </w:tcPr>
          <w:p w14:paraId="568F07FF" w14:textId="77777777" w:rsidR="00A34CD7" w:rsidRPr="00281E99" w:rsidRDefault="00A34CD7" w:rsidP="004C1137">
            <w:pPr>
              <w:contextualSpacing/>
              <w:rPr>
                <w:rFonts w:cstheme="minorHAnsi"/>
                <w:b/>
                <w:sz w:val="20"/>
                <w:szCs w:val="20"/>
              </w:rPr>
            </w:pPr>
            <w:r w:rsidRPr="00281E99">
              <w:rPr>
                <w:rFonts w:cstheme="minorHAnsi"/>
                <w:b/>
                <w:sz w:val="20"/>
                <w:szCs w:val="20"/>
              </w:rPr>
              <w:t>Frequency of Data Collection</w:t>
            </w:r>
          </w:p>
        </w:tc>
        <w:tc>
          <w:tcPr>
            <w:tcW w:w="1707" w:type="dxa"/>
            <w:shd w:val="clear" w:color="auto" w:fill="C6D9F1" w:themeFill="text2" w:themeFillTint="33"/>
          </w:tcPr>
          <w:p w14:paraId="48329E53" w14:textId="77777777" w:rsidR="00A34CD7" w:rsidRPr="00281E99" w:rsidRDefault="00A34CD7" w:rsidP="004C1137">
            <w:pPr>
              <w:contextualSpacing/>
              <w:rPr>
                <w:rFonts w:cstheme="minorHAnsi"/>
                <w:b/>
                <w:sz w:val="20"/>
                <w:szCs w:val="20"/>
              </w:rPr>
            </w:pPr>
            <w:r w:rsidRPr="00281E99">
              <w:rPr>
                <w:rFonts w:cstheme="minorHAnsi"/>
                <w:b/>
                <w:sz w:val="20"/>
                <w:szCs w:val="20"/>
              </w:rPr>
              <w:t>Baseline (Year)</w:t>
            </w:r>
            <w:r w:rsidRPr="00281E99">
              <w:rPr>
                <w:rStyle w:val="FootnoteReference"/>
                <w:rFonts w:cstheme="minorHAnsi"/>
                <w:b/>
                <w:sz w:val="20"/>
                <w:szCs w:val="20"/>
              </w:rPr>
              <w:footnoteReference w:id="2"/>
            </w:r>
          </w:p>
        </w:tc>
        <w:tc>
          <w:tcPr>
            <w:tcW w:w="1794" w:type="dxa"/>
            <w:shd w:val="clear" w:color="auto" w:fill="C6D9F1" w:themeFill="text2" w:themeFillTint="33"/>
          </w:tcPr>
          <w:p w14:paraId="58F0A414" w14:textId="1FC0911E" w:rsidR="00A34CD7" w:rsidRPr="00281E99" w:rsidRDefault="00A34CD7" w:rsidP="004C1137">
            <w:pPr>
              <w:contextualSpacing/>
              <w:rPr>
                <w:rFonts w:cstheme="minorHAnsi"/>
                <w:b/>
                <w:sz w:val="20"/>
                <w:szCs w:val="20"/>
              </w:rPr>
            </w:pPr>
            <w:r w:rsidRPr="00281E99">
              <w:rPr>
                <w:rFonts w:cstheme="minorHAnsi"/>
                <w:b/>
                <w:sz w:val="20"/>
                <w:szCs w:val="20"/>
              </w:rPr>
              <w:t>Target (</w:t>
            </w:r>
            <w:r w:rsidR="00073A61">
              <w:rPr>
                <w:rFonts w:cstheme="minorHAnsi"/>
                <w:b/>
                <w:sz w:val="20"/>
                <w:szCs w:val="20"/>
              </w:rPr>
              <w:t>Year</w:t>
            </w:r>
            <w:r w:rsidRPr="00281E99">
              <w:rPr>
                <w:rFonts w:cstheme="minorHAnsi"/>
                <w:b/>
                <w:sz w:val="20"/>
                <w:szCs w:val="20"/>
              </w:rPr>
              <w:t>)</w:t>
            </w:r>
          </w:p>
        </w:tc>
        <w:tc>
          <w:tcPr>
            <w:tcW w:w="1766" w:type="dxa"/>
            <w:shd w:val="clear" w:color="auto" w:fill="C6D9F1" w:themeFill="text2" w:themeFillTint="33"/>
          </w:tcPr>
          <w:p w14:paraId="22D36983" w14:textId="77777777" w:rsidR="00A34CD7" w:rsidRPr="00281E99" w:rsidRDefault="00A34CD7" w:rsidP="004C1137">
            <w:pPr>
              <w:contextualSpacing/>
              <w:rPr>
                <w:rFonts w:cstheme="minorHAnsi"/>
                <w:b/>
                <w:sz w:val="20"/>
                <w:szCs w:val="20"/>
              </w:rPr>
            </w:pPr>
            <w:r w:rsidRPr="00281E99">
              <w:rPr>
                <w:rFonts w:cstheme="minorHAnsi"/>
                <w:b/>
                <w:sz w:val="20"/>
                <w:szCs w:val="20"/>
              </w:rPr>
              <w:t xml:space="preserve">Assumptions </w:t>
            </w:r>
          </w:p>
        </w:tc>
      </w:tr>
      <w:tr w:rsidR="00A22D00" w14:paraId="53AA2679" w14:textId="77777777" w:rsidTr="00E10A9A">
        <w:tc>
          <w:tcPr>
            <w:tcW w:w="1080" w:type="dxa"/>
            <w:vMerge w:val="restart"/>
          </w:tcPr>
          <w:p w14:paraId="67A0F825" w14:textId="77777777" w:rsidR="00A22D00" w:rsidRPr="0027287D" w:rsidRDefault="00A22D00" w:rsidP="00A22D00">
            <w:pPr>
              <w:contextualSpacing/>
              <w:rPr>
                <w:rFonts w:cstheme="minorHAnsi"/>
                <w:b/>
                <w:sz w:val="20"/>
                <w:szCs w:val="20"/>
              </w:rPr>
            </w:pPr>
            <w:r w:rsidRPr="0027287D">
              <w:rPr>
                <w:rFonts w:cstheme="minorHAnsi"/>
                <w:b/>
                <w:sz w:val="20"/>
                <w:szCs w:val="20"/>
              </w:rPr>
              <w:t>Impact</w:t>
            </w:r>
          </w:p>
          <w:p w14:paraId="32CCFEE1" w14:textId="255C9F95" w:rsidR="00A22D00" w:rsidRPr="0027287D" w:rsidRDefault="00A22D00" w:rsidP="00A22D00">
            <w:pPr>
              <w:contextualSpacing/>
              <w:rPr>
                <w:rFonts w:cstheme="minorHAnsi"/>
                <w:b/>
                <w:sz w:val="20"/>
                <w:szCs w:val="20"/>
              </w:rPr>
            </w:pPr>
            <w:r w:rsidRPr="0027287D">
              <w:rPr>
                <w:rFonts w:cstheme="minorHAnsi"/>
                <w:b/>
                <w:sz w:val="20"/>
                <w:szCs w:val="20"/>
              </w:rPr>
              <w:t>(Overall Objective)</w:t>
            </w:r>
          </w:p>
        </w:tc>
        <w:tc>
          <w:tcPr>
            <w:tcW w:w="1573" w:type="dxa"/>
            <w:shd w:val="clear" w:color="auto" w:fill="F2DBDB" w:themeFill="accent2" w:themeFillTint="33"/>
          </w:tcPr>
          <w:p w14:paraId="183EA369" w14:textId="77777777" w:rsidR="00A22D00" w:rsidRDefault="00A22D00" w:rsidP="00A22D00">
            <w:pPr>
              <w:contextualSpacing/>
              <w:rPr>
                <w:rFonts w:cstheme="minorHAnsi"/>
                <w:b/>
                <w:i/>
                <w:sz w:val="20"/>
                <w:szCs w:val="20"/>
              </w:rPr>
            </w:pPr>
            <w:r>
              <w:rPr>
                <w:rFonts w:cstheme="minorHAnsi"/>
                <w:b/>
                <w:i/>
                <w:sz w:val="20"/>
                <w:szCs w:val="20"/>
              </w:rPr>
              <w:t>Example:</w:t>
            </w:r>
          </w:p>
          <w:p w14:paraId="7D5AC0CC" w14:textId="37F700CB" w:rsidR="00A22D00" w:rsidRPr="00A22D00" w:rsidRDefault="00A22D00" w:rsidP="00A22D00">
            <w:pPr>
              <w:contextualSpacing/>
              <w:rPr>
                <w:rFonts w:cstheme="minorHAnsi"/>
                <w:bCs/>
                <w:i/>
                <w:sz w:val="20"/>
                <w:szCs w:val="20"/>
              </w:rPr>
            </w:pPr>
            <w:r>
              <w:rPr>
                <w:rFonts w:cstheme="minorHAnsi"/>
                <w:bCs/>
                <w:i/>
                <w:sz w:val="20"/>
                <w:szCs w:val="20"/>
              </w:rPr>
              <w:t>Increased Contribution of CSOs in Monitoring of National Policies</w:t>
            </w:r>
          </w:p>
        </w:tc>
        <w:tc>
          <w:tcPr>
            <w:tcW w:w="1621" w:type="dxa"/>
            <w:shd w:val="clear" w:color="auto" w:fill="F2DBDB" w:themeFill="accent2" w:themeFillTint="33"/>
          </w:tcPr>
          <w:p w14:paraId="2AC4A9B5" w14:textId="77777777" w:rsidR="00A22D00" w:rsidRPr="00EA092F" w:rsidRDefault="00A22D00" w:rsidP="00A22D00">
            <w:pPr>
              <w:rPr>
                <w:rFonts w:cstheme="minorHAnsi"/>
                <w:b/>
                <w:i/>
                <w:sz w:val="20"/>
                <w:szCs w:val="20"/>
              </w:rPr>
            </w:pPr>
            <w:r w:rsidRPr="00EA092F">
              <w:rPr>
                <w:rFonts w:cstheme="minorHAnsi"/>
                <w:b/>
                <w:i/>
                <w:sz w:val="20"/>
                <w:szCs w:val="20"/>
              </w:rPr>
              <w:t>Example:</w:t>
            </w:r>
          </w:p>
          <w:p w14:paraId="1DA341C1" w14:textId="55AF47D0" w:rsidR="00A22D00" w:rsidRDefault="00A22D00" w:rsidP="00A22D00">
            <w:pPr>
              <w:rPr>
                <w:rFonts w:cstheme="minorHAnsi"/>
                <w:i/>
                <w:sz w:val="20"/>
                <w:szCs w:val="20"/>
              </w:rPr>
            </w:pPr>
            <w:r w:rsidRPr="00EA092F">
              <w:rPr>
                <w:rFonts w:cstheme="minorHAnsi"/>
                <w:i/>
                <w:sz w:val="20"/>
                <w:szCs w:val="20"/>
              </w:rPr>
              <w:t>Perception of CSOs regarding opportunities for their role in policy monitoring</w:t>
            </w:r>
          </w:p>
        </w:tc>
        <w:tc>
          <w:tcPr>
            <w:tcW w:w="2235" w:type="dxa"/>
            <w:shd w:val="clear" w:color="auto" w:fill="F2DBDB" w:themeFill="accent2" w:themeFillTint="33"/>
          </w:tcPr>
          <w:p w14:paraId="6E367D1E" w14:textId="77777777" w:rsidR="00A22D00" w:rsidRDefault="00A22D00" w:rsidP="00A22D00">
            <w:pPr>
              <w:contextualSpacing/>
              <w:rPr>
                <w:rFonts w:cstheme="minorHAnsi"/>
                <w:b/>
                <w:bCs/>
                <w:i/>
                <w:sz w:val="20"/>
                <w:szCs w:val="20"/>
              </w:rPr>
            </w:pPr>
            <w:r>
              <w:rPr>
                <w:rFonts w:cstheme="minorHAnsi"/>
                <w:b/>
                <w:bCs/>
                <w:i/>
                <w:sz w:val="20"/>
                <w:szCs w:val="20"/>
              </w:rPr>
              <w:t xml:space="preserve">Example: </w:t>
            </w:r>
          </w:p>
          <w:p w14:paraId="1B1E5578" w14:textId="71769B73" w:rsidR="00A22D00" w:rsidRDefault="00A22D00" w:rsidP="00A22D00">
            <w:pPr>
              <w:contextualSpacing/>
              <w:rPr>
                <w:rFonts w:cstheme="minorHAnsi"/>
                <w:i/>
                <w:sz w:val="20"/>
                <w:szCs w:val="20"/>
              </w:rPr>
            </w:pPr>
            <w:r w:rsidRPr="00EA092F">
              <w:rPr>
                <w:rFonts w:cstheme="minorHAnsi"/>
                <w:i/>
                <w:sz w:val="20"/>
                <w:szCs w:val="20"/>
              </w:rPr>
              <w:t>Percentage of sample CSOs that rated the availability of  opportunities for policy monitoring as “satisfactory” and above</w:t>
            </w:r>
          </w:p>
        </w:tc>
        <w:tc>
          <w:tcPr>
            <w:tcW w:w="1701" w:type="dxa"/>
            <w:shd w:val="clear" w:color="auto" w:fill="F2DBDB" w:themeFill="accent2" w:themeFillTint="33"/>
          </w:tcPr>
          <w:p w14:paraId="75C19397" w14:textId="2D264B75" w:rsidR="00A22D00" w:rsidRDefault="00A22D00" w:rsidP="00A22D00">
            <w:pPr>
              <w:contextualSpacing/>
              <w:rPr>
                <w:rFonts w:cstheme="minorHAnsi"/>
                <w:i/>
                <w:sz w:val="20"/>
                <w:szCs w:val="20"/>
              </w:rPr>
            </w:pPr>
            <w:r w:rsidRPr="00EA092F">
              <w:rPr>
                <w:rFonts w:cstheme="minorHAnsi"/>
                <w:i/>
                <w:sz w:val="20"/>
                <w:szCs w:val="20"/>
              </w:rPr>
              <w:t>TAU survey report</w:t>
            </w:r>
          </w:p>
        </w:tc>
        <w:tc>
          <w:tcPr>
            <w:tcW w:w="1350" w:type="dxa"/>
            <w:shd w:val="clear" w:color="auto" w:fill="F2DBDB" w:themeFill="accent2" w:themeFillTint="33"/>
          </w:tcPr>
          <w:p w14:paraId="1E47EE23" w14:textId="312996EE" w:rsidR="00A22D00" w:rsidRPr="00A34CD7" w:rsidRDefault="00A22D00" w:rsidP="00A22D00">
            <w:pPr>
              <w:contextualSpacing/>
              <w:rPr>
                <w:rFonts w:cstheme="minorHAnsi"/>
                <w:i/>
                <w:sz w:val="20"/>
                <w:szCs w:val="20"/>
                <w:highlight w:val="yellow"/>
              </w:rPr>
            </w:pPr>
            <w:r w:rsidRPr="00EA092F">
              <w:rPr>
                <w:rFonts w:cstheme="minorHAnsi"/>
                <w:i/>
                <w:sz w:val="20"/>
                <w:szCs w:val="20"/>
              </w:rPr>
              <w:t>Annual</w:t>
            </w:r>
          </w:p>
        </w:tc>
        <w:tc>
          <w:tcPr>
            <w:tcW w:w="1707" w:type="dxa"/>
            <w:shd w:val="clear" w:color="auto" w:fill="F2DBDB" w:themeFill="accent2" w:themeFillTint="33"/>
          </w:tcPr>
          <w:p w14:paraId="488765F1" w14:textId="238FF09E" w:rsidR="00A22D00" w:rsidRPr="00A34CD7" w:rsidRDefault="00A22D00" w:rsidP="00A22D00">
            <w:pPr>
              <w:contextualSpacing/>
              <w:rPr>
                <w:rFonts w:cstheme="minorHAnsi"/>
                <w:i/>
                <w:sz w:val="20"/>
                <w:szCs w:val="20"/>
                <w:highlight w:val="yellow"/>
              </w:rPr>
            </w:pPr>
            <w:r>
              <w:rPr>
                <w:i/>
                <w:sz w:val="20"/>
                <w:szCs w:val="20"/>
              </w:rPr>
              <w:t>30</w:t>
            </w:r>
            <w:r w:rsidRPr="00EA092F">
              <w:rPr>
                <w:i/>
                <w:sz w:val="20"/>
                <w:szCs w:val="20"/>
              </w:rPr>
              <w:t>% (Mar. 2020)</w:t>
            </w:r>
          </w:p>
        </w:tc>
        <w:tc>
          <w:tcPr>
            <w:tcW w:w="1794" w:type="dxa"/>
            <w:shd w:val="clear" w:color="auto" w:fill="F2DBDB" w:themeFill="accent2" w:themeFillTint="33"/>
          </w:tcPr>
          <w:p w14:paraId="4F3ACF17" w14:textId="77777777" w:rsidR="00A22D00" w:rsidRDefault="00A22D00" w:rsidP="00A22D00">
            <w:pPr>
              <w:contextualSpacing/>
              <w:rPr>
                <w:i/>
                <w:sz w:val="20"/>
                <w:szCs w:val="20"/>
              </w:rPr>
            </w:pPr>
            <w:r>
              <w:rPr>
                <w:i/>
                <w:sz w:val="20"/>
                <w:szCs w:val="20"/>
              </w:rPr>
              <w:t>4</w:t>
            </w:r>
            <w:r w:rsidRPr="00EA092F">
              <w:rPr>
                <w:i/>
                <w:sz w:val="20"/>
                <w:szCs w:val="20"/>
              </w:rPr>
              <w:t>5% (</w:t>
            </w:r>
            <w:r>
              <w:rPr>
                <w:i/>
                <w:sz w:val="20"/>
                <w:szCs w:val="20"/>
              </w:rPr>
              <w:t xml:space="preserve">End </w:t>
            </w:r>
            <w:r w:rsidRPr="00EA092F">
              <w:rPr>
                <w:i/>
                <w:sz w:val="20"/>
                <w:szCs w:val="20"/>
              </w:rPr>
              <w:t>202</w:t>
            </w:r>
            <w:r>
              <w:rPr>
                <w:i/>
                <w:sz w:val="20"/>
                <w:szCs w:val="20"/>
              </w:rPr>
              <w:t>0</w:t>
            </w:r>
            <w:r w:rsidRPr="00EA092F">
              <w:rPr>
                <w:i/>
                <w:sz w:val="20"/>
                <w:szCs w:val="20"/>
              </w:rPr>
              <w:t>)</w:t>
            </w:r>
          </w:p>
          <w:p w14:paraId="0C33E7C5" w14:textId="77777777" w:rsidR="00A22D00" w:rsidRDefault="00A22D00" w:rsidP="00A22D00">
            <w:pPr>
              <w:contextualSpacing/>
              <w:rPr>
                <w:i/>
                <w:sz w:val="20"/>
                <w:szCs w:val="20"/>
              </w:rPr>
            </w:pPr>
            <w:r>
              <w:rPr>
                <w:i/>
                <w:sz w:val="20"/>
                <w:szCs w:val="20"/>
              </w:rPr>
              <w:t>57% (End 2021)</w:t>
            </w:r>
          </w:p>
          <w:p w14:paraId="0D5EB55B" w14:textId="2BDB2D7D" w:rsidR="00A22D00" w:rsidRPr="00A34CD7" w:rsidRDefault="00A22D00" w:rsidP="00A22D00">
            <w:pPr>
              <w:contextualSpacing/>
              <w:rPr>
                <w:rFonts w:cstheme="minorHAnsi"/>
                <w:i/>
                <w:sz w:val="20"/>
                <w:szCs w:val="20"/>
                <w:highlight w:val="yellow"/>
              </w:rPr>
            </w:pPr>
            <w:r>
              <w:rPr>
                <w:i/>
                <w:sz w:val="20"/>
                <w:szCs w:val="20"/>
              </w:rPr>
              <w:t>65% (End 2022)</w:t>
            </w:r>
          </w:p>
        </w:tc>
        <w:tc>
          <w:tcPr>
            <w:tcW w:w="1766" w:type="dxa"/>
            <w:shd w:val="clear" w:color="auto" w:fill="A6A6A6" w:themeFill="background1" w:themeFillShade="A6"/>
          </w:tcPr>
          <w:p w14:paraId="05601FA1" w14:textId="77777777" w:rsidR="00A22D00" w:rsidRDefault="00A22D00" w:rsidP="00A22D00"/>
        </w:tc>
      </w:tr>
      <w:tr w:rsidR="00A22D00" w14:paraId="040688EB" w14:textId="77777777" w:rsidTr="00E10A9A">
        <w:tc>
          <w:tcPr>
            <w:tcW w:w="1080" w:type="dxa"/>
            <w:vMerge/>
          </w:tcPr>
          <w:p w14:paraId="447D6B65" w14:textId="16E844B8" w:rsidR="00A22D00" w:rsidRPr="0027287D" w:rsidRDefault="00A22D00" w:rsidP="00A22D00">
            <w:pPr>
              <w:contextualSpacing/>
              <w:rPr>
                <w:rFonts w:cstheme="minorHAnsi"/>
                <w:b/>
                <w:sz w:val="20"/>
                <w:szCs w:val="20"/>
              </w:rPr>
            </w:pPr>
          </w:p>
        </w:tc>
        <w:tc>
          <w:tcPr>
            <w:tcW w:w="1573" w:type="dxa"/>
          </w:tcPr>
          <w:p w14:paraId="1A8DDD08" w14:textId="77777777" w:rsidR="00A22D00" w:rsidRPr="00A34CD7" w:rsidRDefault="00A22D00" w:rsidP="00A22D00">
            <w:pPr>
              <w:contextualSpacing/>
              <w:rPr>
                <w:rFonts w:cstheme="minorHAnsi"/>
                <w:b/>
                <w:i/>
                <w:sz w:val="20"/>
                <w:szCs w:val="20"/>
              </w:rPr>
            </w:pPr>
            <w:r>
              <w:rPr>
                <w:rFonts w:cstheme="minorHAnsi"/>
                <w:b/>
                <w:i/>
                <w:sz w:val="20"/>
                <w:szCs w:val="20"/>
              </w:rPr>
              <w:t>&lt;</w:t>
            </w:r>
            <w:r w:rsidRPr="00A34CD7">
              <w:rPr>
                <w:rFonts w:cstheme="minorHAnsi"/>
                <w:b/>
                <w:i/>
                <w:sz w:val="20"/>
                <w:szCs w:val="20"/>
                <w:highlight w:val="yellow"/>
              </w:rPr>
              <w:t>Insert the Impact statement</w:t>
            </w:r>
            <w:r>
              <w:rPr>
                <w:rFonts w:cstheme="minorHAnsi"/>
                <w:b/>
                <w:i/>
                <w:sz w:val="20"/>
                <w:szCs w:val="20"/>
              </w:rPr>
              <w:t>&gt;</w:t>
            </w:r>
          </w:p>
        </w:tc>
        <w:tc>
          <w:tcPr>
            <w:tcW w:w="1621" w:type="dxa"/>
          </w:tcPr>
          <w:p w14:paraId="4F653F7E" w14:textId="77777777" w:rsidR="00A22D00" w:rsidRPr="00A34CD7" w:rsidRDefault="00A22D00" w:rsidP="00A22D00">
            <w:pPr>
              <w:rPr>
                <w:rFonts w:cstheme="minorHAnsi"/>
                <w:i/>
                <w:sz w:val="20"/>
                <w:szCs w:val="20"/>
              </w:rPr>
            </w:pPr>
            <w:r>
              <w:rPr>
                <w:rFonts w:cstheme="minorHAnsi"/>
                <w:i/>
                <w:sz w:val="20"/>
                <w:szCs w:val="20"/>
              </w:rPr>
              <w:t>&lt;</w:t>
            </w:r>
            <w:r w:rsidRPr="00A34CD7">
              <w:rPr>
                <w:rFonts w:cstheme="minorHAnsi"/>
                <w:i/>
                <w:sz w:val="20"/>
                <w:szCs w:val="20"/>
              </w:rPr>
              <w:t>1</w:t>
            </w:r>
            <w:r w:rsidRPr="00A34CD7">
              <w:rPr>
                <w:rFonts w:cstheme="minorHAnsi"/>
                <w:i/>
                <w:sz w:val="20"/>
                <w:szCs w:val="20"/>
                <w:highlight w:val="yellow"/>
              </w:rPr>
              <w:t>. Impact Indicator 1</w:t>
            </w:r>
            <w:r>
              <w:rPr>
                <w:rFonts w:cstheme="minorHAnsi"/>
                <w:i/>
                <w:sz w:val="20"/>
                <w:szCs w:val="20"/>
              </w:rPr>
              <w:t>&gt;</w:t>
            </w:r>
          </w:p>
        </w:tc>
        <w:tc>
          <w:tcPr>
            <w:tcW w:w="2235" w:type="dxa"/>
          </w:tcPr>
          <w:p w14:paraId="7A419877" w14:textId="77777777" w:rsidR="00A22D00" w:rsidRPr="00A34CD7" w:rsidRDefault="00A22D00" w:rsidP="00A22D00">
            <w:pPr>
              <w:contextualSpacing/>
              <w:rPr>
                <w:rFonts w:cstheme="minorHAnsi"/>
                <w:i/>
                <w:sz w:val="20"/>
                <w:szCs w:val="20"/>
              </w:rPr>
            </w:pPr>
            <w:r>
              <w:rPr>
                <w:rFonts w:cstheme="minorHAnsi"/>
                <w:i/>
                <w:sz w:val="20"/>
                <w:szCs w:val="20"/>
              </w:rPr>
              <w:t>&lt;</w:t>
            </w:r>
            <w:r w:rsidRPr="00A34CD7">
              <w:rPr>
                <w:rFonts w:cstheme="minorHAnsi"/>
                <w:i/>
                <w:sz w:val="20"/>
                <w:szCs w:val="20"/>
                <w:highlight w:val="yellow"/>
              </w:rPr>
              <w:t>Describe here clearly what you intend to collect</w:t>
            </w:r>
            <w:r>
              <w:rPr>
                <w:rFonts w:cstheme="minorHAnsi"/>
                <w:i/>
                <w:sz w:val="20"/>
                <w:szCs w:val="20"/>
              </w:rPr>
              <w:t>&gt;</w:t>
            </w:r>
          </w:p>
        </w:tc>
        <w:tc>
          <w:tcPr>
            <w:tcW w:w="1701" w:type="dxa"/>
          </w:tcPr>
          <w:p w14:paraId="41830950" w14:textId="77777777" w:rsidR="00A22D00" w:rsidRPr="00A34CD7" w:rsidRDefault="00A22D00" w:rsidP="00A22D00">
            <w:pPr>
              <w:contextualSpacing/>
              <w:rPr>
                <w:rFonts w:cstheme="minorHAnsi"/>
                <w:i/>
                <w:sz w:val="20"/>
                <w:szCs w:val="20"/>
              </w:rPr>
            </w:pPr>
            <w:r>
              <w:rPr>
                <w:rFonts w:cstheme="minorHAnsi"/>
                <w:i/>
                <w:sz w:val="20"/>
                <w:szCs w:val="20"/>
              </w:rPr>
              <w:t>&lt;</w:t>
            </w:r>
            <w:r w:rsidRPr="00A34CD7">
              <w:rPr>
                <w:rFonts w:cstheme="minorHAnsi"/>
                <w:i/>
                <w:sz w:val="20"/>
                <w:szCs w:val="20"/>
                <w:highlight w:val="yellow"/>
              </w:rPr>
              <w:t>What is your source (only one) of verification, taken from the LFM</w:t>
            </w:r>
            <w:r>
              <w:rPr>
                <w:rFonts w:cstheme="minorHAnsi"/>
                <w:i/>
                <w:sz w:val="20"/>
                <w:szCs w:val="20"/>
              </w:rPr>
              <w:t>&gt;</w:t>
            </w:r>
          </w:p>
        </w:tc>
        <w:tc>
          <w:tcPr>
            <w:tcW w:w="1350" w:type="dxa"/>
          </w:tcPr>
          <w:p w14:paraId="5B09141C" w14:textId="77777777" w:rsidR="00A22D00" w:rsidRPr="00A34CD7" w:rsidRDefault="00A22D00" w:rsidP="00A22D00">
            <w:pPr>
              <w:contextualSpacing/>
              <w:rPr>
                <w:rFonts w:cstheme="minorHAnsi"/>
                <w:i/>
                <w:sz w:val="20"/>
                <w:szCs w:val="20"/>
              </w:rPr>
            </w:pPr>
            <w:r w:rsidRPr="00A34CD7">
              <w:rPr>
                <w:rFonts w:cstheme="minorHAnsi"/>
                <w:i/>
                <w:sz w:val="20"/>
                <w:szCs w:val="20"/>
                <w:highlight w:val="yellow"/>
              </w:rPr>
              <w:t>Choose one</w:t>
            </w:r>
            <w:r>
              <w:rPr>
                <w:rFonts w:cstheme="minorHAnsi"/>
                <w:i/>
                <w:sz w:val="20"/>
                <w:szCs w:val="20"/>
              </w:rPr>
              <w:t xml:space="preserve"> &lt;</w:t>
            </w:r>
            <w:r w:rsidRPr="00A34CD7">
              <w:rPr>
                <w:rFonts w:cstheme="minorHAnsi"/>
                <w:i/>
                <w:sz w:val="20"/>
                <w:szCs w:val="20"/>
                <w:highlight w:val="yellow"/>
              </w:rPr>
              <w:t>End line, Annual, Six-monthly</w:t>
            </w:r>
            <w:r>
              <w:rPr>
                <w:rFonts w:cstheme="minorHAnsi"/>
                <w:i/>
                <w:sz w:val="20"/>
                <w:szCs w:val="20"/>
              </w:rPr>
              <w:t>&gt;</w:t>
            </w:r>
          </w:p>
        </w:tc>
        <w:tc>
          <w:tcPr>
            <w:tcW w:w="1707" w:type="dxa"/>
          </w:tcPr>
          <w:p w14:paraId="06554C0B" w14:textId="77777777" w:rsidR="00A22D00" w:rsidRPr="00A34CD7" w:rsidRDefault="00A22D00" w:rsidP="00A22D00">
            <w:pPr>
              <w:contextualSpacing/>
              <w:rPr>
                <w:rFonts w:cstheme="minorHAnsi"/>
                <w:i/>
                <w:sz w:val="20"/>
                <w:szCs w:val="20"/>
              </w:rPr>
            </w:pPr>
            <w:r w:rsidRPr="00A34CD7">
              <w:rPr>
                <w:rFonts w:cstheme="minorHAnsi"/>
                <w:i/>
                <w:sz w:val="20"/>
                <w:szCs w:val="20"/>
                <w:highlight w:val="yellow"/>
              </w:rPr>
              <w:t>What is the baseline value? (Indicate the year)</w:t>
            </w:r>
          </w:p>
        </w:tc>
        <w:tc>
          <w:tcPr>
            <w:tcW w:w="1794" w:type="dxa"/>
          </w:tcPr>
          <w:p w14:paraId="1152FB9E" w14:textId="51648062" w:rsidR="00A22D00" w:rsidRPr="00A34CD7" w:rsidRDefault="00A22D00" w:rsidP="00A22D00">
            <w:pPr>
              <w:contextualSpacing/>
              <w:rPr>
                <w:rFonts w:cstheme="minorHAnsi"/>
                <w:i/>
                <w:sz w:val="20"/>
                <w:szCs w:val="20"/>
              </w:rPr>
            </w:pPr>
            <w:r w:rsidRPr="00A34CD7">
              <w:rPr>
                <w:rFonts w:cstheme="minorHAnsi"/>
                <w:i/>
                <w:sz w:val="20"/>
                <w:szCs w:val="20"/>
                <w:highlight w:val="yellow"/>
              </w:rPr>
              <w:t xml:space="preserve">What is the </w:t>
            </w:r>
            <w:r>
              <w:rPr>
                <w:rFonts w:cstheme="minorHAnsi"/>
                <w:i/>
                <w:sz w:val="20"/>
                <w:szCs w:val="20"/>
                <w:highlight w:val="yellow"/>
              </w:rPr>
              <w:t xml:space="preserve">target </w:t>
            </w:r>
            <w:r w:rsidRPr="00A34CD7">
              <w:rPr>
                <w:rFonts w:cstheme="minorHAnsi"/>
                <w:i/>
                <w:sz w:val="20"/>
                <w:szCs w:val="20"/>
                <w:highlight w:val="yellow"/>
              </w:rPr>
              <w:t>value? (Indicate the year)</w:t>
            </w:r>
          </w:p>
        </w:tc>
        <w:tc>
          <w:tcPr>
            <w:tcW w:w="1766" w:type="dxa"/>
            <w:shd w:val="clear" w:color="auto" w:fill="A6A6A6" w:themeFill="background1" w:themeFillShade="A6"/>
          </w:tcPr>
          <w:p w14:paraId="378BAA06" w14:textId="77777777" w:rsidR="00A22D00" w:rsidRDefault="00A22D00" w:rsidP="00A22D00">
            <w:r>
              <w:t>Not Applicable</w:t>
            </w:r>
          </w:p>
        </w:tc>
      </w:tr>
      <w:tr w:rsidR="00A22D00" w14:paraId="54956BDA" w14:textId="77777777" w:rsidTr="00E10A9A">
        <w:trPr>
          <w:trHeight w:val="962"/>
        </w:trPr>
        <w:tc>
          <w:tcPr>
            <w:tcW w:w="1080" w:type="dxa"/>
          </w:tcPr>
          <w:p w14:paraId="1BAF4EBC" w14:textId="77777777" w:rsidR="00A22D00" w:rsidRPr="0027287D" w:rsidRDefault="00A22D00" w:rsidP="00A22D00">
            <w:pPr>
              <w:contextualSpacing/>
              <w:rPr>
                <w:rFonts w:cstheme="minorHAnsi"/>
                <w:b/>
                <w:sz w:val="20"/>
                <w:szCs w:val="20"/>
              </w:rPr>
            </w:pPr>
            <w:r>
              <w:rPr>
                <w:rFonts w:cstheme="minorHAnsi"/>
                <w:b/>
                <w:sz w:val="20"/>
                <w:szCs w:val="20"/>
              </w:rPr>
              <w:t>Outcome</w:t>
            </w:r>
            <w:r w:rsidRPr="0027287D">
              <w:rPr>
                <w:rFonts w:cstheme="minorHAnsi"/>
                <w:b/>
                <w:sz w:val="20"/>
                <w:szCs w:val="20"/>
              </w:rPr>
              <w:t xml:space="preserve"> </w:t>
            </w:r>
            <w:r>
              <w:rPr>
                <w:rFonts w:cstheme="minorHAnsi"/>
                <w:b/>
                <w:sz w:val="20"/>
                <w:szCs w:val="20"/>
              </w:rPr>
              <w:t xml:space="preserve">1 </w:t>
            </w:r>
          </w:p>
        </w:tc>
        <w:tc>
          <w:tcPr>
            <w:tcW w:w="1573" w:type="dxa"/>
            <w:vMerge w:val="restart"/>
          </w:tcPr>
          <w:p w14:paraId="2F6C3B65" w14:textId="77777777" w:rsidR="00A22D00" w:rsidRPr="00A34CD7" w:rsidRDefault="00A22D00" w:rsidP="00A22D00">
            <w:pPr>
              <w:contextualSpacing/>
              <w:rPr>
                <w:rFonts w:cstheme="minorHAnsi"/>
                <w:b/>
                <w:i/>
                <w:sz w:val="20"/>
                <w:szCs w:val="20"/>
              </w:rPr>
            </w:pPr>
            <w:r>
              <w:rPr>
                <w:rFonts w:cstheme="minorHAnsi"/>
                <w:b/>
                <w:i/>
                <w:sz w:val="20"/>
                <w:szCs w:val="20"/>
              </w:rPr>
              <w:t>&lt;</w:t>
            </w:r>
            <w:r w:rsidRPr="00A34CD7">
              <w:rPr>
                <w:rFonts w:cstheme="minorHAnsi"/>
                <w:b/>
                <w:i/>
                <w:sz w:val="20"/>
                <w:szCs w:val="20"/>
                <w:highlight w:val="yellow"/>
              </w:rPr>
              <w:t xml:space="preserve">Insert the </w:t>
            </w:r>
            <w:r>
              <w:rPr>
                <w:rFonts w:cstheme="minorHAnsi"/>
                <w:b/>
                <w:i/>
                <w:sz w:val="20"/>
                <w:szCs w:val="20"/>
                <w:highlight w:val="yellow"/>
              </w:rPr>
              <w:t>Outcome</w:t>
            </w:r>
            <w:r w:rsidRPr="00A34CD7">
              <w:rPr>
                <w:rFonts w:cstheme="minorHAnsi"/>
                <w:b/>
                <w:i/>
                <w:sz w:val="20"/>
                <w:szCs w:val="20"/>
                <w:highlight w:val="yellow"/>
              </w:rPr>
              <w:t xml:space="preserve"> statement</w:t>
            </w:r>
            <w:r>
              <w:rPr>
                <w:rFonts w:cstheme="minorHAnsi"/>
                <w:b/>
                <w:i/>
                <w:sz w:val="20"/>
                <w:szCs w:val="20"/>
              </w:rPr>
              <w:t>&gt;</w:t>
            </w:r>
          </w:p>
        </w:tc>
        <w:tc>
          <w:tcPr>
            <w:tcW w:w="1621" w:type="dxa"/>
          </w:tcPr>
          <w:p w14:paraId="662F54E6" w14:textId="77777777" w:rsidR="00A22D00" w:rsidRPr="00A34CD7" w:rsidRDefault="00A22D00" w:rsidP="00A22D00">
            <w:pPr>
              <w:rPr>
                <w:rFonts w:cstheme="minorHAnsi"/>
                <w:i/>
                <w:sz w:val="20"/>
                <w:szCs w:val="20"/>
              </w:rPr>
            </w:pPr>
            <w:r>
              <w:rPr>
                <w:rFonts w:cstheme="minorHAnsi"/>
                <w:i/>
                <w:sz w:val="20"/>
                <w:szCs w:val="20"/>
              </w:rPr>
              <w:t>&lt;</w:t>
            </w:r>
            <w:r w:rsidRPr="00A34CD7">
              <w:rPr>
                <w:rFonts w:cstheme="minorHAnsi"/>
                <w:i/>
                <w:sz w:val="20"/>
                <w:szCs w:val="20"/>
              </w:rPr>
              <w:t>1</w:t>
            </w:r>
            <w:r>
              <w:rPr>
                <w:rFonts w:cstheme="minorHAnsi"/>
                <w:i/>
                <w:sz w:val="20"/>
                <w:szCs w:val="20"/>
              </w:rPr>
              <w:t>.1</w:t>
            </w:r>
            <w:r w:rsidRPr="00A34CD7">
              <w:rPr>
                <w:rFonts w:cstheme="minorHAnsi"/>
                <w:i/>
                <w:sz w:val="20"/>
                <w:szCs w:val="20"/>
                <w:highlight w:val="yellow"/>
              </w:rPr>
              <w:t>. Impact Indicator 1</w:t>
            </w:r>
            <w:r>
              <w:rPr>
                <w:rFonts w:cstheme="minorHAnsi"/>
                <w:i/>
                <w:sz w:val="20"/>
                <w:szCs w:val="20"/>
              </w:rPr>
              <w:t>&gt;</w:t>
            </w:r>
          </w:p>
        </w:tc>
        <w:tc>
          <w:tcPr>
            <w:tcW w:w="2235" w:type="dxa"/>
          </w:tcPr>
          <w:p w14:paraId="40D8F923" w14:textId="77777777" w:rsidR="00A22D00" w:rsidRPr="00A34CD7" w:rsidRDefault="00A22D00" w:rsidP="00A22D00">
            <w:pPr>
              <w:contextualSpacing/>
              <w:rPr>
                <w:rFonts w:cstheme="minorHAnsi"/>
                <w:i/>
                <w:sz w:val="20"/>
                <w:szCs w:val="20"/>
              </w:rPr>
            </w:pPr>
            <w:r>
              <w:rPr>
                <w:rFonts w:cstheme="minorHAnsi"/>
                <w:i/>
                <w:sz w:val="20"/>
                <w:szCs w:val="20"/>
              </w:rPr>
              <w:t>&lt;</w:t>
            </w:r>
            <w:r w:rsidRPr="00A34CD7">
              <w:rPr>
                <w:rFonts w:cstheme="minorHAnsi"/>
                <w:i/>
                <w:sz w:val="20"/>
                <w:szCs w:val="20"/>
                <w:highlight w:val="yellow"/>
              </w:rPr>
              <w:t>Describe here clearly what you intend to collect</w:t>
            </w:r>
            <w:r>
              <w:rPr>
                <w:rFonts w:cstheme="minorHAnsi"/>
                <w:i/>
                <w:sz w:val="20"/>
                <w:szCs w:val="20"/>
              </w:rPr>
              <w:t>&gt;</w:t>
            </w:r>
          </w:p>
        </w:tc>
        <w:tc>
          <w:tcPr>
            <w:tcW w:w="1701" w:type="dxa"/>
          </w:tcPr>
          <w:p w14:paraId="5EDA77AC" w14:textId="77777777" w:rsidR="00A22D00" w:rsidRPr="00A34CD7" w:rsidRDefault="00A22D00" w:rsidP="00A22D00">
            <w:pPr>
              <w:contextualSpacing/>
              <w:rPr>
                <w:rFonts w:cstheme="minorHAnsi"/>
                <w:i/>
                <w:sz w:val="20"/>
                <w:szCs w:val="20"/>
              </w:rPr>
            </w:pPr>
            <w:r>
              <w:rPr>
                <w:rFonts w:cstheme="minorHAnsi"/>
                <w:i/>
                <w:sz w:val="20"/>
                <w:szCs w:val="20"/>
              </w:rPr>
              <w:t>&lt;</w:t>
            </w:r>
            <w:r w:rsidRPr="00A34CD7">
              <w:rPr>
                <w:rFonts w:cstheme="minorHAnsi"/>
                <w:i/>
                <w:sz w:val="20"/>
                <w:szCs w:val="20"/>
                <w:highlight w:val="yellow"/>
              </w:rPr>
              <w:t>What is your source (only one) of verification, taken from the LFM</w:t>
            </w:r>
            <w:r>
              <w:rPr>
                <w:rFonts w:cstheme="minorHAnsi"/>
                <w:i/>
                <w:sz w:val="20"/>
                <w:szCs w:val="20"/>
              </w:rPr>
              <w:t>&gt;</w:t>
            </w:r>
          </w:p>
        </w:tc>
        <w:tc>
          <w:tcPr>
            <w:tcW w:w="1350" w:type="dxa"/>
          </w:tcPr>
          <w:p w14:paraId="7E2DF804" w14:textId="77777777" w:rsidR="00A22D00" w:rsidRPr="00A34CD7" w:rsidRDefault="00A22D00" w:rsidP="00A22D00">
            <w:pPr>
              <w:contextualSpacing/>
              <w:rPr>
                <w:rFonts w:cstheme="minorHAnsi"/>
                <w:i/>
                <w:sz w:val="20"/>
                <w:szCs w:val="20"/>
              </w:rPr>
            </w:pPr>
            <w:r w:rsidRPr="00A34CD7">
              <w:rPr>
                <w:rFonts w:cstheme="minorHAnsi"/>
                <w:i/>
                <w:sz w:val="20"/>
                <w:szCs w:val="20"/>
                <w:highlight w:val="yellow"/>
              </w:rPr>
              <w:t>Choose one</w:t>
            </w:r>
            <w:r>
              <w:rPr>
                <w:rFonts w:cstheme="minorHAnsi"/>
                <w:i/>
                <w:sz w:val="20"/>
                <w:szCs w:val="20"/>
              </w:rPr>
              <w:t xml:space="preserve"> &lt;</w:t>
            </w:r>
            <w:r w:rsidRPr="00A34CD7">
              <w:rPr>
                <w:rFonts w:cstheme="minorHAnsi"/>
                <w:i/>
                <w:sz w:val="20"/>
                <w:szCs w:val="20"/>
                <w:highlight w:val="yellow"/>
              </w:rPr>
              <w:t>End line, Annual, Six-monthly</w:t>
            </w:r>
            <w:r>
              <w:rPr>
                <w:rFonts w:cstheme="minorHAnsi"/>
                <w:i/>
                <w:sz w:val="20"/>
                <w:szCs w:val="20"/>
              </w:rPr>
              <w:t>&gt;</w:t>
            </w:r>
          </w:p>
        </w:tc>
        <w:tc>
          <w:tcPr>
            <w:tcW w:w="1707" w:type="dxa"/>
          </w:tcPr>
          <w:p w14:paraId="4490BF4B" w14:textId="77777777" w:rsidR="00A22D00" w:rsidRPr="00A34CD7" w:rsidRDefault="00A22D00" w:rsidP="00A22D00">
            <w:pPr>
              <w:contextualSpacing/>
              <w:rPr>
                <w:rFonts w:cstheme="minorHAnsi"/>
                <w:i/>
                <w:sz w:val="20"/>
                <w:szCs w:val="20"/>
              </w:rPr>
            </w:pPr>
            <w:r w:rsidRPr="00A34CD7">
              <w:rPr>
                <w:rFonts w:cstheme="minorHAnsi"/>
                <w:i/>
                <w:sz w:val="20"/>
                <w:szCs w:val="20"/>
                <w:highlight w:val="yellow"/>
              </w:rPr>
              <w:t>What is the baseline value? (Indicate the year)</w:t>
            </w:r>
          </w:p>
        </w:tc>
        <w:tc>
          <w:tcPr>
            <w:tcW w:w="1794" w:type="dxa"/>
          </w:tcPr>
          <w:p w14:paraId="0007743F" w14:textId="77777777" w:rsidR="00A22D00" w:rsidRPr="00A34CD7" w:rsidRDefault="00A22D00" w:rsidP="00A22D00">
            <w:pPr>
              <w:contextualSpacing/>
              <w:rPr>
                <w:rFonts w:cstheme="minorHAnsi"/>
                <w:i/>
                <w:sz w:val="20"/>
                <w:szCs w:val="20"/>
              </w:rPr>
            </w:pPr>
            <w:r w:rsidRPr="00A34CD7">
              <w:rPr>
                <w:rFonts w:cstheme="minorHAnsi"/>
                <w:i/>
                <w:sz w:val="20"/>
                <w:szCs w:val="20"/>
                <w:highlight w:val="yellow"/>
              </w:rPr>
              <w:t>What is the baseline value? (Indicate the year)</w:t>
            </w:r>
          </w:p>
        </w:tc>
        <w:tc>
          <w:tcPr>
            <w:tcW w:w="1766" w:type="dxa"/>
            <w:vMerge w:val="restart"/>
          </w:tcPr>
          <w:p w14:paraId="390339C1" w14:textId="77777777" w:rsidR="00A22D00" w:rsidRDefault="00A22D00" w:rsidP="00A22D00">
            <w:pPr>
              <w:jc w:val="left"/>
              <w:rPr>
                <w:i/>
                <w:sz w:val="20"/>
                <w:szCs w:val="20"/>
                <w:highlight w:val="yellow"/>
              </w:rPr>
            </w:pPr>
            <w:r w:rsidRPr="003B090A">
              <w:rPr>
                <w:i/>
                <w:sz w:val="20"/>
                <w:szCs w:val="20"/>
                <w:highlight w:val="yellow"/>
              </w:rPr>
              <w:t>List relevant assumptions</w:t>
            </w:r>
            <w:r>
              <w:rPr>
                <w:i/>
                <w:sz w:val="20"/>
                <w:szCs w:val="20"/>
                <w:highlight w:val="yellow"/>
              </w:rPr>
              <w:t xml:space="preserve"> (Ref. LFM)</w:t>
            </w:r>
          </w:p>
          <w:p w14:paraId="4BCB62AD" w14:textId="77777777" w:rsidR="00A22D00" w:rsidRPr="003B090A" w:rsidRDefault="00A22D00" w:rsidP="00A22D00">
            <w:pPr>
              <w:pStyle w:val="ListParagraph"/>
              <w:numPr>
                <w:ilvl w:val="0"/>
                <w:numId w:val="3"/>
              </w:numPr>
              <w:spacing w:line="240" w:lineRule="auto"/>
              <w:ind w:left="162" w:hanging="180"/>
              <w:jc w:val="left"/>
              <w:rPr>
                <w:i/>
                <w:sz w:val="20"/>
                <w:szCs w:val="20"/>
                <w:highlight w:val="yellow"/>
              </w:rPr>
            </w:pPr>
          </w:p>
        </w:tc>
      </w:tr>
      <w:tr w:rsidR="00A22D00" w14:paraId="50583AD4" w14:textId="77777777" w:rsidTr="00E10A9A">
        <w:tc>
          <w:tcPr>
            <w:tcW w:w="1080" w:type="dxa"/>
          </w:tcPr>
          <w:p w14:paraId="03575E58" w14:textId="77777777" w:rsidR="00A22D00" w:rsidRPr="00A22D00" w:rsidRDefault="00A22D00" w:rsidP="00A22D00">
            <w:pPr>
              <w:contextualSpacing/>
              <w:rPr>
                <w:rFonts w:cstheme="minorHAnsi"/>
                <w:b/>
                <w:sz w:val="18"/>
                <w:szCs w:val="18"/>
              </w:rPr>
            </w:pPr>
            <w:r w:rsidRPr="00A22D00">
              <w:rPr>
                <w:rFonts w:cstheme="minorHAnsi"/>
                <w:b/>
                <w:sz w:val="18"/>
                <w:szCs w:val="18"/>
              </w:rPr>
              <w:t>Outcome 2, etc.</w:t>
            </w:r>
          </w:p>
        </w:tc>
        <w:tc>
          <w:tcPr>
            <w:tcW w:w="1573" w:type="dxa"/>
            <w:vMerge/>
          </w:tcPr>
          <w:p w14:paraId="49CB08C5" w14:textId="77777777" w:rsidR="00A22D00" w:rsidRPr="0027287D" w:rsidRDefault="00A22D00" w:rsidP="00A22D00">
            <w:pPr>
              <w:contextualSpacing/>
              <w:rPr>
                <w:rFonts w:cstheme="minorHAnsi"/>
                <w:b/>
                <w:sz w:val="20"/>
                <w:szCs w:val="20"/>
              </w:rPr>
            </w:pPr>
          </w:p>
        </w:tc>
        <w:tc>
          <w:tcPr>
            <w:tcW w:w="1621" w:type="dxa"/>
          </w:tcPr>
          <w:p w14:paraId="0D1C4D41" w14:textId="77777777" w:rsidR="00A22D00" w:rsidRPr="0027287D" w:rsidRDefault="00A22D00" w:rsidP="00A22D00">
            <w:pPr>
              <w:rPr>
                <w:rFonts w:cstheme="minorHAnsi"/>
                <w:sz w:val="20"/>
                <w:szCs w:val="20"/>
              </w:rPr>
            </w:pPr>
            <w:r>
              <w:rPr>
                <w:rFonts w:cstheme="minorHAnsi"/>
                <w:i/>
                <w:sz w:val="20"/>
                <w:szCs w:val="20"/>
              </w:rPr>
              <w:t>&lt;</w:t>
            </w:r>
            <w:r w:rsidRPr="00A34CD7">
              <w:rPr>
                <w:rFonts w:cstheme="minorHAnsi"/>
                <w:i/>
                <w:sz w:val="20"/>
                <w:szCs w:val="20"/>
              </w:rPr>
              <w:t>1</w:t>
            </w:r>
            <w:r>
              <w:rPr>
                <w:rFonts w:cstheme="minorHAnsi"/>
                <w:i/>
                <w:sz w:val="20"/>
                <w:szCs w:val="20"/>
              </w:rPr>
              <w:t>.2</w:t>
            </w:r>
            <w:r w:rsidRPr="00A34CD7">
              <w:rPr>
                <w:rFonts w:cstheme="minorHAnsi"/>
                <w:i/>
                <w:sz w:val="20"/>
                <w:szCs w:val="20"/>
                <w:highlight w:val="yellow"/>
              </w:rPr>
              <w:t>. Impact Indicator 1</w:t>
            </w:r>
            <w:r>
              <w:rPr>
                <w:rFonts w:cstheme="minorHAnsi"/>
                <w:i/>
                <w:sz w:val="20"/>
                <w:szCs w:val="20"/>
              </w:rPr>
              <w:t>&gt;</w:t>
            </w:r>
          </w:p>
        </w:tc>
        <w:tc>
          <w:tcPr>
            <w:tcW w:w="2235" w:type="dxa"/>
          </w:tcPr>
          <w:p w14:paraId="11CC685E" w14:textId="77777777" w:rsidR="00A22D00" w:rsidRPr="0027287D" w:rsidRDefault="00A22D00" w:rsidP="00A22D00">
            <w:pPr>
              <w:contextualSpacing/>
              <w:rPr>
                <w:rFonts w:cstheme="minorHAnsi"/>
                <w:sz w:val="20"/>
                <w:szCs w:val="20"/>
              </w:rPr>
            </w:pPr>
            <w:r>
              <w:rPr>
                <w:rFonts w:cstheme="minorHAnsi"/>
                <w:i/>
                <w:sz w:val="20"/>
                <w:szCs w:val="20"/>
              </w:rPr>
              <w:t>&lt;</w:t>
            </w:r>
            <w:r w:rsidRPr="00A34CD7">
              <w:rPr>
                <w:rFonts w:cstheme="minorHAnsi"/>
                <w:i/>
                <w:sz w:val="20"/>
                <w:szCs w:val="20"/>
                <w:highlight w:val="yellow"/>
              </w:rPr>
              <w:t>Describe here clearly what you intend to collect</w:t>
            </w:r>
            <w:r>
              <w:rPr>
                <w:rFonts w:cstheme="minorHAnsi"/>
                <w:i/>
                <w:sz w:val="20"/>
                <w:szCs w:val="20"/>
              </w:rPr>
              <w:t>&gt;</w:t>
            </w:r>
          </w:p>
        </w:tc>
        <w:tc>
          <w:tcPr>
            <w:tcW w:w="1701" w:type="dxa"/>
          </w:tcPr>
          <w:p w14:paraId="69CCA900" w14:textId="77777777" w:rsidR="00A22D00" w:rsidRPr="0027287D" w:rsidRDefault="00A22D00" w:rsidP="00A22D00">
            <w:pPr>
              <w:contextualSpacing/>
              <w:rPr>
                <w:rFonts w:cstheme="minorHAnsi"/>
                <w:sz w:val="20"/>
                <w:szCs w:val="20"/>
              </w:rPr>
            </w:pPr>
            <w:r>
              <w:rPr>
                <w:rFonts w:cstheme="minorHAnsi"/>
                <w:i/>
                <w:sz w:val="20"/>
                <w:szCs w:val="20"/>
              </w:rPr>
              <w:t>&lt;</w:t>
            </w:r>
            <w:r w:rsidRPr="00A34CD7">
              <w:rPr>
                <w:rFonts w:cstheme="minorHAnsi"/>
                <w:i/>
                <w:sz w:val="20"/>
                <w:szCs w:val="20"/>
                <w:highlight w:val="yellow"/>
              </w:rPr>
              <w:t>What is your source (only one) of verification, taken from the LFM</w:t>
            </w:r>
            <w:r>
              <w:rPr>
                <w:rFonts w:cstheme="minorHAnsi"/>
                <w:i/>
                <w:sz w:val="20"/>
                <w:szCs w:val="20"/>
              </w:rPr>
              <w:t>&gt;</w:t>
            </w:r>
          </w:p>
        </w:tc>
        <w:tc>
          <w:tcPr>
            <w:tcW w:w="1350" w:type="dxa"/>
          </w:tcPr>
          <w:p w14:paraId="6B7C5072" w14:textId="77777777" w:rsidR="00A22D00" w:rsidRPr="0027287D" w:rsidRDefault="00A22D00" w:rsidP="00A22D00">
            <w:pPr>
              <w:contextualSpacing/>
              <w:rPr>
                <w:rFonts w:cstheme="minorHAnsi"/>
                <w:sz w:val="20"/>
                <w:szCs w:val="20"/>
              </w:rPr>
            </w:pPr>
            <w:r w:rsidRPr="00A34CD7">
              <w:rPr>
                <w:rFonts w:cstheme="minorHAnsi"/>
                <w:i/>
                <w:sz w:val="20"/>
                <w:szCs w:val="20"/>
                <w:highlight w:val="yellow"/>
              </w:rPr>
              <w:t>Choose one</w:t>
            </w:r>
            <w:r>
              <w:rPr>
                <w:rFonts w:cstheme="minorHAnsi"/>
                <w:i/>
                <w:sz w:val="20"/>
                <w:szCs w:val="20"/>
              </w:rPr>
              <w:t xml:space="preserve"> &lt;</w:t>
            </w:r>
            <w:r w:rsidRPr="00A34CD7">
              <w:rPr>
                <w:rFonts w:cstheme="minorHAnsi"/>
                <w:i/>
                <w:sz w:val="20"/>
                <w:szCs w:val="20"/>
                <w:highlight w:val="yellow"/>
              </w:rPr>
              <w:t>End line, Annual, Six-monthly</w:t>
            </w:r>
            <w:r>
              <w:rPr>
                <w:rFonts w:cstheme="minorHAnsi"/>
                <w:i/>
                <w:sz w:val="20"/>
                <w:szCs w:val="20"/>
              </w:rPr>
              <w:t>&gt;</w:t>
            </w:r>
          </w:p>
        </w:tc>
        <w:tc>
          <w:tcPr>
            <w:tcW w:w="1707" w:type="dxa"/>
          </w:tcPr>
          <w:p w14:paraId="1B271163" w14:textId="77777777" w:rsidR="00A22D00" w:rsidRPr="0027287D" w:rsidRDefault="00A22D00" w:rsidP="00A22D00">
            <w:pPr>
              <w:contextualSpacing/>
              <w:rPr>
                <w:rFonts w:cstheme="minorHAnsi"/>
                <w:sz w:val="20"/>
                <w:szCs w:val="20"/>
              </w:rPr>
            </w:pPr>
            <w:r w:rsidRPr="00A34CD7">
              <w:rPr>
                <w:rFonts w:cstheme="minorHAnsi"/>
                <w:i/>
                <w:sz w:val="20"/>
                <w:szCs w:val="20"/>
                <w:highlight w:val="yellow"/>
              </w:rPr>
              <w:t>What is the baseline value? (Indicate the year)</w:t>
            </w:r>
          </w:p>
        </w:tc>
        <w:tc>
          <w:tcPr>
            <w:tcW w:w="1794" w:type="dxa"/>
          </w:tcPr>
          <w:p w14:paraId="44D2D310" w14:textId="77777777" w:rsidR="00A22D00" w:rsidRPr="0027287D" w:rsidRDefault="00A22D00" w:rsidP="00A22D00">
            <w:pPr>
              <w:contextualSpacing/>
              <w:rPr>
                <w:rFonts w:cstheme="minorHAnsi"/>
                <w:sz w:val="20"/>
                <w:szCs w:val="20"/>
              </w:rPr>
            </w:pPr>
            <w:r w:rsidRPr="00A34CD7">
              <w:rPr>
                <w:rFonts w:cstheme="minorHAnsi"/>
                <w:i/>
                <w:sz w:val="20"/>
                <w:szCs w:val="20"/>
                <w:highlight w:val="yellow"/>
              </w:rPr>
              <w:t>What is the baseline value? (Indicate the year)</w:t>
            </w:r>
          </w:p>
        </w:tc>
        <w:tc>
          <w:tcPr>
            <w:tcW w:w="1766" w:type="dxa"/>
            <w:vMerge/>
            <w:vAlign w:val="center"/>
          </w:tcPr>
          <w:p w14:paraId="66F7ED51" w14:textId="77777777" w:rsidR="00A22D00" w:rsidRDefault="00A22D00" w:rsidP="00A22D00">
            <w:pPr>
              <w:pStyle w:val="ListParagraph"/>
              <w:numPr>
                <w:ilvl w:val="0"/>
                <w:numId w:val="2"/>
              </w:numPr>
            </w:pPr>
          </w:p>
        </w:tc>
      </w:tr>
      <w:tr w:rsidR="00A22D00" w14:paraId="7C28A3B9" w14:textId="77777777" w:rsidTr="00E10A9A">
        <w:tc>
          <w:tcPr>
            <w:tcW w:w="1080" w:type="dxa"/>
          </w:tcPr>
          <w:p w14:paraId="63D5C143" w14:textId="77777777" w:rsidR="00A22D00" w:rsidRPr="00A22D00" w:rsidRDefault="00A22D00" w:rsidP="00A22D00">
            <w:pPr>
              <w:contextualSpacing/>
              <w:rPr>
                <w:rFonts w:cstheme="minorHAnsi"/>
                <w:b/>
                <w:sz w:val="18"/>
                <w:szCs w:val="18"/>
              </w:rPr>
            </w:pPr>
            <w:r w:rsidRPr="00A22D00">
              <w:rPr>
                <w:rFonts w:cstheme="minorHAnsi"/>
                <w:b/>
                <w:sz w:val="18"/>
                <w:szCs w:val="18"/>
              </w:rPr>
              <w:t>Output 1.1, 1.2…2.1, etc.</w:t>
            </w:r>
          </w:p>
        </w:tc>
        <w:tc>
          <w:tcPr>
            <w:tcW w:w="1573" w:type="dxa"/>
          </w:tcPr>
          <w:p w14:paraId="1A6416E9" w14:textId="0E4479F4" w:rsidR="00A22D00" w:rsidRPr="0027287D" w:rsidRDefault="00A22D00" w:rsidP="00A22D00">
            <w:pPr>
              <w:contextualSpacing/>
              <w:rPr>
                <w:rFonts w:cstheme="minorHAnsi"/>
                <w:b/>
                <w:sz w:val="20"/>
                <w:szCs w:val="20"/>
              </w:rPr>
            </w:pPr>
            <w:r>
              <w:rPr>
                <w:rFonts w:cstheme="minorHAnsi"/>
                <w:b/>
                <w:i/>
                <w:sz w:val="20"/>
                <w:szCs w:val="20"/>
              </w:rPr>
              <w:t>&lt;</w:t>
            </w:r>
            <w:r w:rsidRPr="00A34CD7">
              <w:rPr>
                <w:rFonts w:cstheme="minorHAnsi"/>
                <w:b/>
                <w:i/>
                <w:sz w:val="20"/>
                <w:szCs w:val="20"/>
                <w:highlight w:val="yellow"/>
              </w:rPr>
              <w:t xml:space="preserve">Insert the </w:t>
            </w:r>
            <w:r>
              <w:rPr>
                <w:rFonts w:cstheme="minorHAnsi"/>
                <w:b/>
                <w:i/>
                <w:sz w:val="20"/>
                <w:szCs w:val="20"/>
                <w:highlight w:val="yellow"/>
              </w:rPr>
              <w:t>Outputs</w:t>
            </w:r>
            <w:r>
              <w:rPr>
                <w:rFonts w:cstheme="minorHAnsi"/>
                <w:b/>
                <w:i/>
                <w:sz w:val="20"/>
                <w:szCs w:val="20"/>
              </w:rPr>
              <w:t>&gt;</w:t>
            </w:r>
          </w:p>
        </w:tc>
        <w:tc>
          <w:tcPr>
            <w:tcW w:w="1621" w:type="dxa"/>
          </w:tcPr>
          <w:p w14:paraId="0CCFADE2" w14:textId="6042E5B0" w:rsidR="00A22D00" w:rsidRPr="003D45B9" w:rsidRDefault="00A22D00" w:rsidP="00A22D00">
            <w:pPr>
              <w:rPr>
                <w:rFonts w:cstheme="minorHAnsi"/>
                <w:i/>
                <w:iCs/>
                <w:sz w:val="20"/>
                <w:szCs w:val="20"/>
              </w:rPr>
            </w:pPr>
            <w:r w:rsidRPr="003D45B9">
              <w:rPr>
                <w:rFonts w:cstheme="minorHAnsi"/>
                <w:i/>
                <w:iCs/>
                <w:sz w:val="20"/>
                <w:szCs w:val="20"/>
              </w:rPr>
              <w:t>&lt;</w:t>
            </w:r>
            <w:r w:rsidRPr="003D45B9">
              <w:rPr>
                <w:rFonts w:cstheme="minorHAnsi"/>
                <w:i/>
                <w:iCs/>
                <w:sz w:val="20"/>
                <w:szCs w:val="20"/>
                <w:highlight w:val="yellow"/>
              </w:rPr>
              <w:t>1.1.1 Output Indicator</w:t>
            </w:r>
            <w:r w:rsidRPr="003D45B9">
              <w:rPr>
                <w:rFonts w:cstheme="minorHAnsi"/>
                <w:i/>
                <w:iCs/>
                <w:sz w:val="20"/>
                <w:szCs w:val="20"/>
              </w:rPr>
              <w:t>&gt;</w:t>
            </w:r>
          </w:p>
        </w:tc>
        <w:tc>
          <w:tcPr>
            <w:tcW w:w="2235" w:type="dxa"/>
          </w:tcPr>
          <w:p w14:paraId="164E6449" w14:textId="056C3921" w:rsidR="00A22D00" w:rsidRPr="0027287D" w:rsidRDefault="00A22D00" w:rsidP="00A22D00">
            <w:pPr>
              <w:contextualSpacing/>
              <w:rPr>
                <w:rFonts w:cstheme="minorHAnsi"/>
                <w:sz w:val="20"/>
                <w:szCs w:val="20"/>
              </w:rPr>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c>
          <w:tcPr>
            <w:tcW w:w="1701" w:type="dxa"/>
          </w:tcPr>
          <w:p w14:paraId="586A0C4D" w14:textId="69A70C63" w:rsidR="00A22D00" w:rsidRPr="0027287D" w:rsidRDefault="00A22D00" w:rsidP="00A22D00">
            <w:pPr>
              <w:contextualSpacing/>
              <w:rPr>
                <w:rFonts w:cstheme="minorHAnsi"/>
                <w:sz w:val="20"/>
                <w:szCs w:val="20"/>
              </w:rPr>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c>
          <w:tcPr>
            <w:tcW w:w="1350" w:type="dxa"/>
          </w:tcPr>
          <w:p w14:paraId="7766C042" w14:textId="4893110C" w:rsidR="00A22D00" w:rsidRPr="0027287D" w:rsidRDefault="00A22D00" w:rsidP="00A22D00">
            <w:pPr>
              <w:contextualSpacing/>
              <w:rPr>
                <w:rFonts w:cstheme="minorHAnsi"/>
                <w:sz w:val="20"/>
                <w:szCs w:val="20"/>
              </w:rPr>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c>
          <w:tcPr>
            <w:tcW w:w="1707" w:type="dxa"/>
          </w:tcPr>
          <w:p w14:paraId="3BEA9F75" w14:textId="6BED54D1" w:rsidR="00A22D00" w:rsidRPr="0027287D" w:rsidRDefault="00A22D00" w:rsidP="00A22D00">
            <w:pPr>
              <w:contextualSpacing/>
              <w:rPr>
                <w:rFonts w:cstheme="minorHAnsi"/>
                <w:sz w:val="20"/>
                <w:szCs w:val="20"/>
              </w:rPr>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c>
          <w:tcPr>
            <w:tcW w:w="1794" w:type="dxa"/>
          </w:tcPr>
          <w:p w14:paraId="32F43288" w14:textId="0ADBB7B6" w:rsidR="00A22D00" w:rsidRPr="0027287D" w:rsidRDefault="00A22D00" w:rsidP="00A22D00">
            <w:pPr>
              <w:contextualSpacing/>
              <w:rPr>
                <w:rFonts w:cstheme="minorHAnsi"/>
                <w:sz w:val="20"/>
                <w:szCs w:val="20"/>
              </w:rPr>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c>
          <w:tcPr>
            <w:tcW w:w="1766" w:type="dxa"/>
          </w:tcPr>
          <w:p w14:paraId="5D435BE1" w14:textId="14409FF0" w:rsidR="00A22D00" w:rsidRDefault="00A22D00" w:rsidP="00A22D00">
            <w:pPr>
              <w:jc w:val="left"/>
            </w:pPr>
            <w:r>
              <w:rPr>
                <w:rFonts w:cstheme="minorHAnsi"/>
                <w:sz w:val="20"/>
                <w:szCs w:val="20"/>
              </w:rPr>
              <w:t>&lt;</w:t>
            </w:r>
            <w:r w:rsidRPr="003D45B9">
              <w:rPr>
                <w:rFonts w:cstheme="minorHAnsi"/>
                <w:sz w:val="20"/>
                <w:szCs w:val="20"/>
                <w:highlight w:val="yellow"/>
              </w:rPr>
              <w:t>as above</w:t>
            </w:r>
            <w:r>
              <w:rPr>
                <w:rFonts w:cstheme="minorHAnsi"/>
                <w:sz w:val="20"/>
                <w:szCs w:val="20"/>
              </w:rPr>
              <w:t>&gt;</w:t>
            </w:r>
          </w:p>
        </w:tc>
      </w:tr>
    </w:tbl>
    <w:p w14:paraId="3E1DDA02" w14:textId="77777777" w:rsidR="00EC081A" w:rsidRDefault="00EC081A"/>
    <w:sectPr w:rsidR="00EC081A" w:rsidSect="00A34C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2763" w14:textId="77777777" w:rsidR="004B6AAD" w:rsidRDefault="004B6AAD" w:rsidP="00A34CD7">
      <w:pPr>
        <w:spacing w:after="0" w:line="240" w:lineRule="auto"/>
      </w:pPr>
      <w:r>
        <w:separator/>
      </w:r>
    </w:p>
  </w:endnote>
  <w:endnote w:type="continuationSeparator" w:id="0">
    <w:p w14:paraId="49DC0083" w14:textId="77777777" w:rsidR="004B6AAD" w:rsidRDefault="004B6AAD" w:rsidP="00A3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3DCC" w14:textId="77777777" w:rsidR="004A2D15" w:rsidRPr="004A2D15" w:rsidRDefault="004A2D15" w:rsidP="004A2D15">
    <w:pPr>
      <w:pStyle w:val="Footer"/>
      <w:rPr>
        <w:rFonts w:eastAsiaTheme="majorEastAsia" w:cstheme="minorHAnsi"/>
      </w:rPr>
    </w:pPr>
    <w:r>
      <w:rPr>
        <w:rFonts w:eastAsiaTheme="majorEastAsia" w:cstheme="minorHAnsi"/>
      </w:rPr>
      <w:t xml:space="preserve">EU CSF-III: Guidelines for M&amp;E Plan </w:t>
    </w:r>
    <w:r w:rsidRPr="004A2D15">
      <w:rPr>
        <w:rFonts w:eastAsiaTheme="majorEastAsia" w:cstheme="minorHAnsi"/>
      </w:rPr>
      <w:ptab w:relativeTo="margin" w:alignment="right" w:leader="none"/>
    </w:r>
    <w:r w:rsidRPr="004A2D15">
      <w:rPr>
        <w:rFonts w:eastAsiaTheme="majorEastAsia" w:cstheme="minorHAnsi"/>
      </w:rPr>
      <w:t xml:space="preserve">Page </w:t>
    </w:r>
    <w:r w:rsidRPr="004A2D15">
      <w:rPr>
        <w:rFonts w:eastAsiaTheme="minorEastAsia" w:cstheme="minorHAnsi"/>
      </w:rPr>
      <w:fldChar w:fldCharType="begin"/>
    </w:r>
    <w:r w:rsidRPr="004A2D15">
      <w:rPr>
        <w:rFonts w:cstheme="minorHAnsi"/>
      </w:rPr>
      <w:instrText xml:space="preserve"> PAGE   \* MERGEFORMAT </w:instrText>
    </w:r>
    <w:r w:rsidRPr="004A2D15">
      <w:rPr>
        <w:rFonts w:eastAsiaTheme="minorEastAsia" w:cstheme="minorHAnsi"/>
      </w:rPr>
      <w:fldChar w:fldCharType="separate"/>
    </w:r>
    <w:r w:rsidR="00E60F2E" w:rsidRPr="00E60F2E">
      <w:rPr>
        <w:rFonts w:eastAsiaTheme="majorEastAsia" w:cstheme="minorHAnsi"/>
        <w:noProof/>
      </w:rPr>
      <w:t>1</w:t>
    </w:r>
    <w:r w:rsidRPr="004A2D15">
      <w:rPr>
        <w:rFonts w:eastAsiaTheme="majorEastAsia" w:cstheme="minorHAnsi"/>
        <w:noProof/>
      </w:rPr>
      <w:fldChar w:fldCharType="end"/>
    </w:r>
  </w:p>
  <w:p w14:paraId="467D9C11" w14:textId="77777777" w:rsidR="004A2D15" w:rsidRDefault="004A2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5BBC" w14:textId="77777777" w:rsidR="004B6AAD" w:rsidRDefault="004B6AAD" w:rsidP="00A34CD7">
      <w:pPr>
        <w:spacing w:after="0" w:line="240" w:lineRule="auto"/>
      </w:pPr>
      <w:r>
        <w:separator/>
      </w:r>
    </w:p>
  </w:footnote>
  <w:footnote w:type="continuationSeparator" w:id="0">
    <w:p w14:paraId="31723F5B" w14:textId="77777777" w:rsidR="004B6AAD" w:rsidRDefault="004B6AAD" w:rsidP="00A34CD7">
      <w:pPr>
        <w:spacing w:after="0" w:line="240" w:lineRule="auto"/>
      </w:pPr>
      <w:r>
        <w:continuationSeparator/>
      </w:r>
    </w:p>
  </w:footnote>
  <w:footnote w:id="1">
    <w:p w14:paraId="7533FEFE" w14:textId="51C0EBC6" w:rsidR="00A22D00" w:rsidRPr="00A22D00" w:rsidRDefault="00A22D00">
      <w:pPr>
        <w:pStyle w:val="FootnoteText"/>
        <w:rPr>
          <w:lang w:val="en-US"/>
        </w:rPr>
      </w:pPr>
      <w:r>
        <w:rPr>
          <w:rStyle w:val="FootnoteReference"/>
        </w:rPr>
        <w:footnoteRef/>
      </w:r>
      <w:r>
        <w:t xml:space="preserve"> </w:t>
      </w:r>
      <w:r>
        <w:rPr>
          <w:lang w:val="en-US"/>
        </w:rPr>
        <w:t xml:space="preserve">This is not a mandatory template; it is for guidance purpose. You are encouraged to use it, but you may also modify having the overall purpose in mind. </w:t>
      </w:r>
    </w:p>
  </w:footnote>
  <w:footnote w:id="2">
    <w:p w14:paraId="11269365" w14:textId="77777777" w:rsidR="00A34CD7" w:rsidRPr="00350168" w:rsidRDefault="00A34CD7" w:rsidP="00A34CD7">
      <w:pPr>
        <w:pStyle w:val="FootnoteText"/>
        <w:rPr>
          <w:lang w:val="en-ZW"/>
        </w:rPr>
      </w:pPr>
      <w:r>
        <w:rPr>
          <w:rStyle w:val="FootnoteReference"/>
        </w:rPr>
        <w:footnoteRef/>
      </w:r>
      <w:r>
        <w:t xml:space="preserve"> </w:t>
      </w:r>
      <w:r>
        <w:rPr>
          <w:lang w:val="en-ZW"/>
        </w:rPr>
        <w:t>Baseline figures for each indicator, depending on the source, might have different base years. However, they all indicate the initial status of these indicators before (or near to) the programme’s commencement to show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0786" w14:textId="5F2C030E" w:rsidR="005F5067" w:rsidRDefault="005F5067">
    <w:pPr>
      <w:pStyle w:val="Header"/>
    </w:pPr>
    <w:r>
      <w:rPr>
        <w:noProof/>
      </w:rPr>
      <w:drawing>
        <wp:anchor distT="0" distB="0" distL="114300" distR="114300" simplePos="0" relativeHeight="251659264" behindDoc="1" locked="0" layoutInCell="1" allowOverlap="1" wp14:anchorId="367E1F95" wp14:editId="0B812671">
          <wp:simplePos x="0" y="0"/>
          <wp:positionH relativeFrom="column">
            <wp:posOffset>-802493</wp:posOffset>
          </wp:positionH>
          <wp:positionV relativeFrom="paragraph">
            <wp:posOffset>-351790</wp:posOffset>
          </wp:positionV>
          <wp:extent cx="7525385" cy="1359535"/>
          <wp:effectExtent l="0" t="0" r="0" b="0"/>
          <wp:wrapTight wrapText="bothSides">
            <wp:wrapPolygon edited="0">
              <wp:start x="0" y="0"/>
              <wp:lineTo x="0" y="21186"/>
              <wp:lineTo x="21543" y="21186"/>
              <wp:lineTo x="2154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5385" cy="1359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A825" w14:textId="5EA5339F" w:rsidR="005F5067" w:rsidRDefault="005F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A81"/>
    <w:multiLevelType w:val="hybridMultilevel"/>
    <w:tmpl w:val="E974CB78"/>
    <w:lvl w:ilvl="0" w:tplc="C234EFD8">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23F"/>
    <w:multiLevelType w:val="hybridMultilevel"/>
    <w:tmpl w:val="6AB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2AAD"/>
    <w:multiLevelType w:val="hybridMultilevel"/>
    <w:tmpl w:val="ED90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34F6"/>
    <w:multiLevelType w:val="hybridMultilevel"/>
    <w:tmpl w:val="F64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5658B"/>
    <w:multiLevelType w:val="hybridMultilevel"/>
    <w:tmpl w:val="9F1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66C15"/>
    <w:multiLevelType w:val="hybridMultilevel"/>
    <w:tmpl w:val="6BF4C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E3B62"/>
    <w:multiLevelType w:val="hybridMultilevel"/>
    <w:tmpl w:val="85E2CB78"/>
    <w:lvl w:ilvl="0" w:tplc="3B6AAA00">
      <w:start w:val="1"/>
      <w:numFmt w:val="bullet"/>
      <w:pStyle w:val="ListParagraph"/>
      <w:lvlText w:val=""/>
      <w:lvlJc w:val="left"/>
      <w:pPr>
        <w:ind w:left="767" w:hanging="360"/>
      </w:pPr>
      <w:rPr>
        <w:rFonts w:ascii="Symbol" w:hAnsi="Symbol" w:hint="default"/>
      </w:rPr>
    </w:lvl>
    <w:lvl w:ilvl="1" w:tplc="30090003">
      <w:start w:val="1"/>
      <w:numFmt w:val="bullet"/>
      <w:lvlText w:val="o"/>
      <w:lvlJc w:val="left"/>
      <w:pPr>
        <w:ind w:left="1487" w:hanging="360"/>
      </w:pPr>
      <w:rPr>
        <w:rFonts w:ascii="Courier New" w:hAnsi="Courier New" w:cs="Courier New" w:hint="default"/>
      </w:rPr>
    </w:lvl>
    <w:lvl w:ilvl="2" w:tplc="30090005" w:tentative="1">
      <w:start w:val="1"/>
      <w:numFmt w:val="bullet"/>
      <w:lvlText w:val=""/>
      <w:lvlJc w:val="left"/>
      <w:pPr>
        <w:ind w:left="2207" w:hanging="360"/>
      </w:pPr>
      <w:rPr>
        <w:rFonts w:ascii="Wingdings" w:hAnsi="Wingdings" w:hint="default"/>
      </w:rPr>
    </w:lvl>
    <w:lvl w:ilvl="3" w:tplc="30090001" w:tentative="1">
      <w:start w:val="1"/>
      <w:numFmt w:val="bullet"/>
      <w:lvlText w:val=""/>
      <w:lvlJc w:val="left"/>
      <w:pPr>
        <w:ind w:left="2927" w:hanging="360"/>
      </w:pPr>
      <w:rPr>
        <w:rFonts w:ascii="Symbol" w:hAnsi="Symbol" w:hint="default"/>
      </w:rPr>
    </w:lvl>
    <w:lvl w:ilvl="4" w:tplc="30090003" w:tentative="1">
      <w:start w:val="1"/>
      <w:numFmt w:val="bullet"/>
      <w:lvlText w:val="o"/>
      <w:lvlJc w:val="left"/>
      <w:pPr>
        <w:ind w:left="3647" w:hanging="360"/>
      </w:pPr>
      <w:rPr>
        <w:rFonts w:ascii="Courier New" w:hAnsi="Courier New" w:cs="Courier New" w:hint="default"/>
      </w:rPr>
    </w:lvl>
    <w:lvl w:ilvl="5" w:tplc="30090005" w:tentative="1">
      <w:start w:val="1"/>
      <w:numFmt w:val="bullet"/>
      <w:lvlText w:val=""/>
      <w:lvlJc w:val="left"/>
      <w:pPr>
        <w:ind w:left="4367" w:hanging="360"/>
      </w:pPr>
      <w:rPr>
        <w:rFonts w:ascii="Wingdings" w:hAnsi="Wingdings" w:hint="default"/>
      </w:rPr>
    </w:lvl>
    <w:lvl w:ilvl="6" w:tplc="30090001" w:tentative="1">
      <w:start w:val="1"/>
      <w:numFmt w:val="bullet"/>
      <w:lvlText w:val=""/>
      <w:lvlJc w:val="left"/>
      <w:pPr>
        <w:ind w:left="5087" w:hanging="360"/>
      </w:pPr>
      <w:rPr>
        <w:rFonts w:ascii="Symbol" w:hAnsi="Symbol" w:hint="default"/>
      </w:rPr>
    </w:lvl>
    <w:lvl w:ilvl="7" w:tplc="30090003" w:tentative="1">
      <w:start w:val="1"/>
      <w:numFmt w:val="bullet"/>
      <w:lvlText w:val="o"/>
      <w:lvlJc w:val="left"/>
      <w:pPr>
        <w:ind w:left="5807" w:hanging="360"/>
      </w:pPr>
      <w:rPr>
        <w:rFonts w:ascii="Courier New" w:hAnsi="Courier New" w:cs="Courier New" w:hint="default"/>
      </w:rPr>
    </w:lvl>
    <w:lvl w:ilvl="8" w:tplc="30090005" w:tentative="1">
      <w:start w:val="1"/>
      <w:numFmt w:val="bullet"/>
      <w:lvlText w:val=""/>
      <w:lvlJc w:val="left"/>
      <w:pPr>
        <w:ind w:left="6527" w:hanging="360"/>
      </w:pPr>
      <w:rPr>
        <w:rFonts w:ascii="Wingdings" w:hAnsi="Wingdings" w:hint="default"/>
      </w:rPr>
    </w:lvl>
  </w:abstractNum>
  <w:abstractNum w:abstractNumId="7" w15:restartNumberingAfterBreak="0">
    <w:nsid w:val="54BB5B05"/>
    <w:multiLevelType w:val="multilevel"/>
    <w:tmpl w:val="0A5837CE"/>
    <w:lvl w:ilvl="0">
      <w:start w:val="1"/>
      <w:numFmt w:val="decimal"/>
      <w:pStyle w:val="Heading1"/>
      <w:lvlText w:val="%1."/>
      <w:lvlJc w:val="left"/>
      <w:pPr>
        <w:ind w:left="315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394D49"/>
    <w:multiLevelType w:val="hybridMultilevel"/>
    <w:tmpl w:val="5D3642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0802A3"/>
    <w:multiLevelType w:val="hybridMultilevel"/>
    <w:tmpl w:val="89A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973D9"/>
    <w:multiLevelType w:val="hybridMultilevel"/>
    <w:tmpl w:val="515A7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0"/>
  </w:num>
  <w:num w:numId="6">
    <w:abstractNumId w:val="1"/>
  </w:num>
  <w:num w:numId="7">
    <w:abstractNumId w:val="4"/>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D7"/>
    <w:rsid w:val="00073A61"/>
    <w:rsid w:val="000D32E7"/>
    <w:rsid w:val="00110554"/>
    <w:rsid w:val="00123C72"/>
    <w:rsid w:val="00152859"/>
    <w:rsid w:val="00183AD9"/>
    <w:rsid w:val="002C0AE9"/>
    <w:rsid w:val="0031203C"/>
    <w:rsid w:val="003B090A"/>
    <w:rsid w:val="003D45B9"/>
    <w:rsid w:val="0048046E"/>
    <w:rsid w:val="004A2D15"/>
    <w:rsid w:val="004B6AAD"/>
    <w:rsid w:val="005667DA"/>
    <w:rsid w:val="005F5067"/>
    <w:rsid w:val="006220EA"/>
    <w:rsid w:val="006E7281"/>
    <w:rsid w:val="00734159"/>
    <w:rsid w:val="00783382"/>
    <w:rsid w:val="00793A08"/>
    <w:rsid w:val="008110BD"/>
    <w:rsid w:val="008F5420"/>
    <w:rsid w:val="00A22D00"/>
    <w:rsid w:val="00A34CD7"/>
    <w:rsid w:val="00A64E8E"/>
    <w:rsid w:val="00AB4A68"/>
    <w:rsid w:val="00AC02FE"/>
    <w:rsid w:val="00AE2EFB"/>
    <w:rsid w:val="00B17E1D"/>
    <w:rsid w:val="00B55354"/>
    <w:rsid w:val="00BA7EE9"/>
    <w:rsid w:val="00C00C95"/>
    <w:rsid w:val="00C161C1"/>
    <w:rsid w:val="00C767E0"/>
    <w:rsid w:val="00CD344C"/>
    <w:rsid w:val="00E10A9A"/>
    <w:rsid w:val="00E60F2E"/>
    <w:rsid w:val="00E93D1D"/>
    <w:rsid w:val="00E94B63"/>
    <w:rsid w:val="00EA092F"/>
    <w:rsid w:val="00EC081A"/>
    <w:rsid w:val="00F1138C"/>
    <w:rsid w:val="00F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D876"/>
  <w15:docId w15:val="{BF5EF78E-2777-4467-B15A-28416B8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D7"/>
    <w:pPr>
      <w:jc w:val="both"/>
    </w:pPr>
    <w:rPr>
      <w:lang w:val="en-GB"/>
    </w:rPr>
  </w:style>
  <w:style w:type="paragraph" w:styleId="Heading1">
    <w:name w:val="heading 1"/>
    <w:basedOn w:val="Normal"/>
    <w:next w:val="Normal"/>
    <w:link w:val="Heading1Char"/>
    <w:uiPriority w:val="9"/>
    <w:qFormat/>
    <w:rsid w:val="00C767E0"/>
    <w:pPr>
      <w:keepNext/>
      <w:keepLines/>
      <w:numPr>
        <w:numId w:val="4"/>
      </w:numPr>
      <w:spacing w:before="120" w:after="240" w:line="240" w:lineRule="auto"/>
      <w:ind w:left="72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nhideWhenUsed/>
    <w:qFormat/>
    <w:rsid w:val="00C767E0"/>
    <w:pPr>
      <w:keepNext/>
      <w:keepLines/>
      <w:numPr>
        <w:numId w:val="5"/>
      </w:numPr>
      <w:spacing w:before="120" w:after="120" w:line="288"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s"/>
    <w:basedOn w:val="Normal"/>
    <w:link w:val="ListParagraphChar"/>
    <w:uiPriority w:val="34"/>
    <w:rsid w:val="00A34CD7"/>
    <w:pPr>
      <w:numPr>
        <w:numId w:val="1"/>
      </w:numPr>
      <w:spacing w:after="0" w:line="288" w:lineRule="auto"/>
      <w:contextualSpacing/>
    </w:pPr>
  </w:style>
  <w:style w:type="character" w:styleId="Hyperlink">
    <w:name w:val="Hyperlink"/>
    <w:basedOn w:val="DefaultParagraphFont"/>
    <w:uiPriority w:val="99"/>
    <w:unhideWhenUsed/>
    <w:rsid w:val="00A34CD7"/>
    <w:rPr>
      <w:color w:val="0000FF" w:themeColor="hyperlink"/>
      <w:u w:val="single"/>
    </w:rPr>
  </w:style>
  <w:style w:type="character" w:styleId="FootnoteReference">
    <w:name w:val="footnote reference"/>
    <w:unhideWhenUsed/>
    <w:rsid w:val="00A34CD7"/>
    <w:rPr>
      <w:vertAlign w:val="superscript"/>
    </w:rPr>
  </w:style>
  <w:style w:type="paragraph" w:styleId="FootnoteText">
    <w:name w:val="footnote text"/>
    <w:basedOn w:val="Normal"/>
    <w:link w:val="FootnoteTextChar"/>
    <w:uiPriority w:val="99"/>
    <w:unhideWhenUsed/>
    <w:rsid w:val="00A34CD7"/>
    <w:pPr>
      <w:spacing w:after="0" w:line="240" w:lineRule="auto"/>
      <w:ind w:left="357"/>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34CD7"/>
    <w:rPr>
      <w:rFonts w:ascii="Calibri" w:eastAsia="Calibri" w:hAnsi="Calibri" w:cs="Times New Roman"/>
      <w:sz w:val="20"/>
      <w:szCs w:val="20"/>
      <w:lang w:val="en-GB"/>
    </w:rPr>
  </w:style>
  <w:style w:type="paragraph" w:styleId="Title">
    <w:name w:val="Title"/>
    <w:aliases w:val="Figure"/>
    <w:basedOn w:val="Normal"/>
    <w:next w:val="BodyText"/>
    <w:link w:val="TitleChar"/>
    <w:uiPriority w:val="10"/>
    <w:qFormat/>
    <w:rsid w:val="00A34CD7"/>
    <w:pPr>
      <w:spacing w:before="120" w:after="120" w:line="240" w:lineRule="auto"/>
      <w:contextualSpacing/>
    </w:pPr>
    <w:rPr>
      <w:rFonts w:eastAsiaTheme="majorEastAsia" w:cstheme="majorBidi"/>
      <w:b/>
      <w:i/>
      <w:caps/>
      <w:color w:val="1F497D" w:themeColor="text2"/>
      <w:spacing w:val="-10"/>
      <w:kern w:val="28"/>
      <w:sz w:val="24"/>
      <w:szCs w:val="56"/>
    </w:rPr>
  </w:style>
  <w:style w:type="character" w:customStyle="1" w:styleId="TitleChar">
    <w:name w:val="Title Char"/>
    <w:aliases w:val="Figure Char"/>
    <w:basedOn w:val="DefaultParagraphFont"/>
    <w:link w:val="Title"/>
    <w:uiPriority w:val="10"/>
    <w:rsid w:val="00A34CD7"/>
    <w:rPr>
      <w:rFonts w:eastAsiaTheme="majorEastAsia" w:cstheme="majorBidi"/>
      <w:b/>
      <w:i/>
      <w:caps/>
      <w:color w:val="1F497D" w:themeColor="text2"/>
      <w:spacing w:val="-10"/>
      <w:kern w:val="28"/>
      <w:sz w:val="24"/>
      <w:szCs w:val="56"/>
      <w:lang w:val="en-GB"/>
    </w:rPr>
  </w:style>
  <w:style w:type="character" w:customStyle="1" w:styleId="ListParagraphChar">
    <w:name w:val="List Paragraph Char"/>
    <w:aliases w:val="Tables Char"/>
    <w:link w:val="ListParagraph"/>
    <w:uiPriority w:val="34"/>
    <w:qFormat/>
    <w:locked/>
    <w:rsid w:val="00A34CD7"/>
    <w:rPr>
      <w:lang w:val="en-GB"/>
    </w:rPr>
  </w:style>
  <w:style w:type="paragraph" w:styleId="BodyText">
    <w:name w:val="Body Text"/>
    <w:basedOn w:val="Normal"/>
    <w:link w:val="BodyTextChar"/>
    <w:uiPriority w:val="99"/>
    <w:semiHidden/>
    <w:unhideWhenUsed/>
    <w:rsid w:val="00A34CD7"/>
    <w:pPr>
      <w:spacing w:after="120"/>
    </w:pPr>
  </w:style>
  <w:style w:type="character" w:customStyle="1" w:styleId="BodyTextChar">
    <w:name w:val="Body Text Char"/>
    <w:basedOn w:val="DefaultParagraphFont"/>
    <w:link w:val="BodyText"/>
    <w:uiPriority w:val="99"/>
    <w:semiHidden/>
    <w:rsid w:val="00A34CD7"/>
    <w:rPr>
      <w:lang w:val="en-GB"/>
    </w:rPr>
  </w:style>
  <w:style w:type="character" w:customStyle="1" w:styleId="Heading1Char">
    <w:name w:val="Heading 1 Char"/>
    <w:basedOn w:val="DefaultParagraphFont"/>
    <w:link w:val="Heading1"/>
    <w:uiPriority w:val="9"/>
    <w:rsid w:val="00C767E0"/>
    <w:rPr>
      <w:rFonts w:eastAsiaTheme="majorEastAsia" w:cstheme="majorBidi"/>
      <w:b/>
      <w:bCs/>
      <w:caps/>
      <w:color w:val="365F91" w:themeColor="accent1" w:themeShade="BF"/>
      <w:sz w:val="28"/>
      <w:szCs w:val="28"/>
      <w:lang w:val="en-GB"/>
    </w:rPr>
  </w:style>
  <w:style w:type="character" w:customStyle="1" w:styleId="Heading2Char">
    <w:name w:val="Heading 2 Char"/>
    <w:basedOn w:val="DefaultParagraphFont"/>
    <w:link w:val="Heading2"/>
    <w:rsid w:val="00C767E0"/>
    <w:rPr>
      <w:rFonts w:eastAsiaTheme="majorEastAsia" w:cstheme="majorBidi"/>
      <w:b/>
      <w:bCs/>
      <w:color w:val="4F81BD" w:themeColor="accent1"/>
      <w:sz w:val="26"/>
      <w:szCs w:val="26"/>
      <w:lang w:val="en-GB"/>
    </w:rPr>
  </w:style>
  <w:style w:type="paragraph" w:styleId="Header">
    <w:name w:val="header"/>
    <w:basedOn w:val="Normal"/>
    <w:link w:val="HeaderChar"/>
    <w:uiPriority w:val="99"/>
    <w:unhideWhenUsed/>
    <w:rsid w:val="004A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15"/>
    <w:rPr>
      <w:lang w:val="en-GB"/>
    </w:rPr>
  </w:style>
  <w:style w:type="paragraph" w:styleId="Footer">
    <w:name w:val="footer"/>
    <w:basedOn w:val="Normal"/>
    <w:link w:val="FooterChar"/>
    <w:uiPriority w:val="99"/>
    <w:unhideWhenUsed/>
    <w:rsid w:val="004A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15"/>
    <w:rPr>
      <w:lang w:val="en-GB"/>
    </w:rPr>
  </w:style>
  <w:style w:type="paragraph" w:styleId="BalloonText">
    <w:name w:val="Balloon Text"/>
    <w:basedOn w:val="Normal"/>
    <w:link w:val="BalloonTextChar"/>
    <w:uiPriority w:val="99"/>
    <w:semiHidden/>
    <w:unhideWhenUsed/>
    <w:rsid w:val="004A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2453-9C24-4BAF-926F-B4DCF295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Beruk</dc:creator>
  <cp:lastModifiedBy>Beruk Negash</cp:lastModifiedBy>
  <cp:revision>2</cp:revision>
  <dcterms:created xsi:type="dcterms:W3CDTF">2020-03-19T08:47:00Z</dcterms:created>
  <dcterms:modified xsi:type="dcterms:W3CDTF">2020-03-19T08:47:00Z</dcterms:modified>
</cp:coreProperties>
</file>